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104bis</w:t>
      </w:r>
      <w:r>
        <w:rPr>
          <w:rFonts w:ascii="Arial" w:hAnsi="Arial" w:eastAsia="宋体" w:cs="Arial"/>
          <w:b/>
          <w:color w:val="auto"/>
          <w:sz w:val="24"/>
          <w:lang w:eastAsia="zh-CN"/>
        </w:rPr>
        <w:t>-e</w:t>
      </w:r>
      <w:r>
        <w:rPr>
          <w:rFonts w:ascii="Arial" w:hAnsi="Arial" w:eastAsia="MS Mincho"/>
          <w:b/>
          <w:color w:val="auto"/>
          <w:sz w:val="24"/>
        </w:rPr>
        <w:tab/>
      </w:r>
      <w:r>
        <w:rPr>
          <w:rFonts w:ascii="Arial" w:hAnsi="Arial"/>
          <w:b/>
          <w:color w:val="auto"/>
          <w:sz w:val="24"/>
          <w:lang w:eastAsia="zh-CN"/>
        </w:rPr>
        <w:t>R4-2</w:t>
      </w:r>
      <w:r>
        <w:rPr>
          <w:rFonts w:hint="eastAsia" w:ascii="Arial" w:hAnsi="Arial"/>
          <w:b/>
          <w:color w:val="auto"/>
          <w:sz w:val="24"/>
          <w:lang w:val="en-US" w:eastAsia="zh-CN"/>
        </w:rPr>
        <w:t>216485</w:t>
      </w:r>
      <w:bookmarkStart w:id="3" w:name="_GoBack"/>
      <w:bookmarkEnd w:id="3"/>
    </w:p>
    <w:p>
      <w:pPr>
        <w:tabs>
          <w:tab w:val="left" w:pos="3106"/>
          <w:tab w:val="center" w:pos="4536"/>
          <w:tab w:val="right" w:pos="9072"/>
        </w:tabs>
        <w:jc w:val="both"/>
        <w:rPr>
          <w:rFonts w:ascii="Arial" w:hAnsi="Arial" w:eastAsia="宋体"/>
          <w:b/>
          <w:color w:val="auto"/>
          <w:sz w:val="24"/>
          <w:lang w:val="en-GB" w:eastAsia="zh-CN"/>
        </w:rPr>
      </w:pPr>
      <w:r>
        <w:rPr>
          <w:rFonts w:ascii="Arial" w:hAnsi="Arial" w:eastAsia="宋体"/>
          <w:b/>
          <w:color w:val="auto"/>
          <w:sz w:val="24"/>
          <w:lang w:eastAsia="zh-CN"/>
        </w:rPr>
        <w:t xml:space="preserve">Electronic Meeting, </w:t>
      </w:r>
      <w:r>
        <w:rPr>
          <w:rFonts w:hint="eastAsia" w:ascii="Arial" w:hAnsi="Arial" w:eastAsia="宋体" w:cs="Arial"/>
          <w:b/>
          <w:bCs/>
          <w:sz w:val="24"/>
          <w:szCs w:val="24"/>
          <w:lang w:val="en-US" w:eastAsia="zh-CN"/>
        </w:rPr>
        <w:t xml:space="preserve">10 </w:t>
      </w:r>
      <w:r>
        <w:rPr>
          <w:rFonts w:ascii="Arial" w:hAnsi="Arial" w:cs="Arial"/>
          <w:b/>
          <w:bCs/>
          <w:sz w:val="24"/>
          <w:szCs w:val="24"/>
        </w:rPr>
        <w:t>–</w:t>
      </w:r>
      <w:r>
        <w:rPr>
          <w:rFonts w:hint="eastAsia" w:ascii="Arial" w:hAnsi="Arial" w:eastAsia="宋体" w:cs="Arial"/>
          <w:b/>
          <w:bCs/>
          <w:sz w:val="24"/>
          <w:szCs w:val="24"/>
          <w:lang w:val="en-US" w:eastAsia="zh-CN"/>
        </w:rPr>
        <w:t xml:space="preserve"> 19 Oct</w:t>
      </w:r>
      <w:r>
        <w:rPr>
          <w:rFonts w:ascii="Arial" w:hAnsi="Arial" w:eastAsia="宋体"/>
          <w:b/>
          <w:color w:val="auto"/>
          <w:sz w:val="24"/>
          <w:lang w:eastAsia="zh-CN"/>
        </w:rPr>
        <w:t>, 202</w:t>
      </w:r>
      <w:r>
        <w:rPr>
          <w:rFonts w:hint="eastAsia" w:ascii="Arial" w:hAnsi="Arial" w:eastAsia="宋体"/>
          <w:b/>
          <w:color w:val="auto"/>
          <w:sz w:val="24"/>
          <w:lang w:val="en-US" w:eastAsia="zh-CN"/>
        </w:rPr>
        <w:t>2</w:t>
      </w:r>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pPr>
        <w:pStyle w:val="15"/>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p>
    <w:p>
      <w:pPr>
        <w:pStyle w:val="15"/>
        <w:tabs>
          <w:tab w:val="left" w:pos="1800"/>
          <w:tab w:val="clear" w:pos="4536"/>
        </w:tabs>
        <w:spacing w:after="60"/>
        <w:ind w:left="1807" w:hanging="1807" w:hangingChars="750"/>
        <w:rPr>
          <w:rFonts w:hint="default"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Discussion on remaining RRM requirements for inter-cell beam management</w:t>
      </w:r>
    </w:p>
    <w:p>
      <w:pPr>
        <w:pStyle w:val="15"/>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lang w:val="en-US" w:eastAsia="zh-CN"/>
        </w:rPr>
        <w:t>4.5.1.2</w:t>
      </w:r>
    </w:p>
    <w:p>
      <w:pPr>
        <w:pStyle w:val="15"/>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Approval</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pPr>
        <w:pStyle w:val="11"/>
        <w:tabs>
          <w:tab w:val="left" w:pos="226"/>
          <w:tab w:val="left" w:pos="284"/>
          <w:tab w:val="left" w:pos="5103"/>
        </w:tabs>
        <w:snapToGrid w:val="0"/>
        <w:spacing w:before="156" w:beforeLines="50"/>
        <w:rPr>
          <w:rFonts w:hint="default" w:eastAsia="宋体"/>
          <w:color w:val="auto"/>
          <w:sz w:val="21"/>
          <w:szCs w:val="21"/>
          <w:lang w:val="en-US" w:eastAsia="zh-CN"/>
        </w:rPr>
      </w:pPr>
      <w:r>
        <w:rPr>
          <w:rFonts w:hint="default" w:eastAsia="宋体"/>
          <w:color w:val="auto"/>
          <w:sz w:val="21"/>
          <w:szCs w:val="21"/>
          <w:lang w:val="en-US" w:eastAsia="zh-CN"/>
        </w:rPr>
        <w:t xml:space="preserve">In </w:t>
      </w:r>
      <w:r>
        <w:rPr>
          <w:rFonts w:hint="eastAsia" w:eastAsia="宋体"/>
          <w:color w:val="auto"/>
          <w:sz w:val="21"/>
          <w:szCs w:val="21"/>
          <w:lang w:val="en-US" w:eastAsia="zh-CN"/>
        </w:rPr>
        <w:t xml:space="preserve">the last meeting, a way forward on RRM impact for inter-cell beam management in FeMIMO was approved in [1]. Within this WF, multiple agreements corresponding to different issues were approved. However still some issues are suspending. </w:t>
      </w:r>
      <w:r>
        <w:rPr>
          <w:rFonts w:hint="eastAsia"/>
          <w:sz w:val="21"/>
          <w:szCs w:val="21"/>
          <w:lang w:val="en-US" w:eastAsia="zh-CN"/>
        </w:rPr>
        <w:t xml:space="preserve">Further discussion are needed. In this document, we give our analysis on the following issues. </w:t>
      </w:r>
      <w:r>
        <w:rPr>
          <w:rFonts w:hint="eastAsia" w:eastAsia="宋体"/>
          <w:color w:val="auto"/>
          <w:sz w:val="21"/>
          <w:szCs w:val="21"/>
          <w:lang w:val="en-US" w:eastAsia="zh-CN"/>
        </w:rPr>
        <w:t>We provide our views on these remaining issues.</w:t>
      </w:r>
    </w:p>
    <w:p>
      <w:pPr>
        <w:pStyle w:val="16"/>
        <w:keepNext w:val="0"/>
        <w:keepLines w:val="0"/>
        <w:pageBreakBefore w:val="0"/>
        <w:numPr>
          <w:ilvl w:val="1"/>
          <w:numId w:val="4"/>
        </w:numPr>
        <w:kinsoku/>
        <w:wordWrap/>
        <w:overflowPunct/>
        <w:topLinePunct w:val="0"/>
        <w:autoSpaceDE/>
        <w:autoSpaceDN/>
        <w:bidi w:val="0"/>
        <w:adjustRightInd/>
        <w:snapToGrid/>
        <w:spacing w:before="0" w:beforeAutospacing="0" w:after="120" w:afterAutospacing="0"/>
        <w:ind w:left="317" w:hanging="357"/>
        <w:jc w:val="both"/>
        <w:textAlignment w:val="auto"/>
        <w:rPr>
          <w:rFonts w:hint="default" w:ascii="Times New Roman" w:hAnsi="Times New Roman" w:cs="Times New Roman"/>
          <w:strike w:val="0"/>
          <w:dstrike w:val="0"/>
          <w:color w:val="auto"/>
          <w:sz w:val="20"/>
          <w:szCs w:val="20"/>
          <w:lang w:val="en-US" w:eastAsia="zh-CN" w:bidi="ar-SA"/>
        </w:rPr>
      </w:pPr>
      <w:bookmarkStart w:id="0" w:name="OLE_LINK1"/>
      <w:bookmarkStart w:id="1" w:name="OLE_LINK2"/>
      <w:r>
        <w:rPr>
          <w:rFonts w:hint="default" w:ascii="Times New Roman" w:hAnsi="Times New Roman" w:cs="Times New Roman"/>
          <w:strike w:val="0"/>
          <w:dstrike w:val="0"/>
          <w:color w:val="auto"/>
          <w:sz w:val="20"/>
          <w:szCs w:val="20"/>
          <w:lang w:val="en-US" w:eastAsia="zh-CN" w:bidi="ar-SA"/>
        </w:rPr>
        <w:t>Scheduling Restriction and measurement restriction</w:t>
      </w:r>
    </w:p>
    <w:p>
      <w:pPr>
        <w:pStyle w:val="16"/>
        <w:keepNext w:val="0"/>
        <w:keepLines w:val="0"/>
        <w:pageBreakBefore w:val="0"/>
        <w:numPr>
          <w:ilvl w:val="0"/>
          <w:numId w:val="5"/>
        </w:numPr>
        <w:kinsoku/>
        <w:wordWrap/>
        <w:overflowPunct/>
        <w:topLinePunct w:val="0"/>
        <w:autoSpaceDE/>
        <w:autoSpaceDN/>
        <w:bidi w:val="0"/>
        <w:adjustRightInd/>
        <w:snapToGrid/>
        <w:spacing w:before="0" w:beforeAutospacing="0" w:after="120" w:afterAutospacing="0"/>
        <w:ind w:left="840" w:leftChars="0" w:hanging="420" w:firstLineChars="0"/>
        <w:jc w:val="both"/>
        <w:textAlignment w:val="auto"/>
        <w:rPr>
          <w:rFonts w:hint="default" w:ascii="Times New Roman" w:hAnsi="Times New Roman" w:cs="Times New Roman"/>
          <w:strike w:val="0"/>
          <w:dstrike w:val="0"/>
          <w:color w:val="auto"/>
          <w:sz w:val="20"/>
          <w:szCs w:val="20"/>
          <w:lang w:val="en-US" w:eastAsia="zh-CN" w:bidi="ar-SA"/>
        </w:rPr>
      </w:pPr>
      <w:r>
        <w:rPr>
          <w:rFonts w:hint="default" w:ascii="Times New Roman" w:hAnsi="Times New Roman" w:cs="Times New Roman"/>
          <w:strike w:val="0"/>
          <w:dstrike w:val="0"/>
          <w:color w:val="auto"/>
          <w:sz w:val="20"/>
          <w:szCs w:val="20"/>
          <w:lang w:val="en-US" w:eastAsia="zh-CN" w:bidi="ar-SA"/>
        </w:rPr>
        <w:t>Scheduling restriction for dynamic TDD</w:t>
      </w:r>
    </w:p>
    <w:p>
      <w:pPr>
        <w:pStyle w:val="16"/>
        <w:keepNext w:val="0"/>
        <w:keepLines w:val="0"/>
        <w:pageBreakBefore w:val="0"/>
        <w:numPr>
          <w:ilvl w:val="0"/>
          <w:numId w:val="5"/>
        </w:numPr>
        <w:kinsoku/>
        <w:wordWrap/>
        <w:overflowPunct/>
        <w:topLinePunct w:val="0"/>
        <w:autoSpaceDE/>
        <w:autoSpaceDN/>
        <w:bidi w:val="0"/>
        <w:adjustRightInd/>
        <w:snapToGrid/>
        <w:spacing w:before="0" w:beforeAutospacing="0" w:after="120" w:afterAutospacing="0"/>
        <w:ind w:left="840" w:leftChars="0" w:hanging="420" w:firstLineChars="0"/>
        <w:jc w:val="both"/>
        <w:textAlignment w:val="auto"/>
        <w:rPr>
          <w:rFonts w:hint="default" w:ascii="Times New Roman" w:hAnsi="Times New Roman" w:cs="Times New Roman"/>
          <w:strike w:val="0"/>
          <w:dstrike w:val="0"/>
          <w:color w:val="auto"/>
          <w:sz w:val="20"/>
          <w:szCs w:val="20"/>
          <w:lang w:val="en-US" w:eastAsia="zh-CN" w:bidi="ar-SA"/>
        </w:rPr>
      </w:pPr>
      <w:r>
        <w:rPr>
          <w:rFonts w:hint="default" w:ascii="Times New Roman" w:hAnsi="Times New Roman" w:cs="Times New Roman"/>
          <w:strike w:val="0"/>
          <w:dstrike w:val="0"/>
          <w:color w:val="auto"/>
          <w:sz w:val="20"/>
          <w:szCs w:val="20"/>
          <w:lang w:val="en-US" w:eastAsia="zh-CN" w:bidi="ar-SA"/>
        </w:rPr>
        <w:t>Whether to define scheduling restriction for non-serving cell</w:t>
      </w:r>
    </w:p>
    <w:p>
      <w:pPr>
        <w:pStyle w:val="16"/>
        <w:keepNext w:val="0"/>
        <w:keepLines w:val="0"/>
        <w:pageBreakBefore w:val="0"/>
        <w:numPr>
          <w:ilvl w:val="1"/>
          <w:numId w:val="4"/>
        </w:numPr>
        <w:kinsoku/>
        <w:wordWrap/>
        <w:overflowPunct/>
        <w:topLinePunct w:val="0"/>
        <w:autoSpaceDE/>
        <w:autoSpaceDN/>
        <w:bidi w:val="0"/>
        <w:adjustRightInd/>
        <w:snapToGrid/>
        <w:spacing w:before="0" w:beforeAutospacing="0" w:after="120" w:afterAutospacing="0"/>
        <w:ind w:left="317" w:hanging="357"/>
        <w:jc w:val="both"/>
        <w:textAlignment w:val="auto"/>
        <w:rPr>
          <w:rFonts w:hint="default" w:ascii="Times New Roman" w:hAnsi="Times New Roman" w:cs="Times New Roman"/>
          <w:strike w:val="0"/>
          <w:dstrike w:val="0"/>
          <w:color w:val="auto"/>
          <w:sz w:val="20"/>
          <w:szCs w:val="20"/>
          <w:lang w:val="en-US" w:eastAsia="zh-CN" w:bidi="ar-SA"/>
        </w:rPr>
      </w:pPr>
      <w:r>
        <w:rPr>
          <w:rFonts w:hint="default" w:ascii="Times New Roman" w:hAnsi="Times New Roman" w:cs="Times New Roman"/>
          <w:strike w:val="0"/>
          <w:dstrike w:val="0"/>
          <w:color w:val="auto"/>
          <w:sz w:val="20"/>
          <w:szCs w:val="20"/>
          <w:lang w:val="en-US" w:eastAsia="zh-CN" w:bidi="ar-SA"/>
        </w:rPr>
        <w:t>Applicability of ICBM</w:t>
      </w:r>
    </w:p>
    <w:bookmarkEnd w:id="0"/>
    <w:bookmarkEnd w:id="1"/>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hint="eastAsia" w:eastAsia="宋体"/>
          <w:color w:val="auto"/>
          <w:lang w:eastAsia="zh-CN"/>
        </w:rPr>
        <w:t>Discussion</w:t>
      </w:r>
    </w:p>
    <w:p>
      <w:pPr>
        <w:pStyle w:val="3"/>
        <w:bidi w:val="0"/>
        <w:rPr>
          <w:rFonts w:hint="eastAsia"/>
          <w:color w:val="auto"/>
          <w:sz w:val="28"/>
          <w:szCs w:val="28"/>
          <w:highlight w:val="none"/>
          <w:lang w:val="en-US" w:eastAsia="zh-CN"/>
        </w:rPr>
      </w:pPr>
      <w:r>
        <w:rPr>
          <w:rFonts w:hint="eastAsia"/>
          <w:color w:val="auto"/>
          <w:sz w:val="28"/>
          <w:szCs w:val="28"/>
          <w:highlight w:val="none"/>
          <w:lang w:val="en-US" w:eastAsia="zh-CN"/>
        </w:rPr>
        <w:t>2.1 Scheduling Restriction and measurement restriction</w:t>
      </w:r>
    </w:p>
    <w:p>
      <w:pPr>
        <w:keepNext w:val="0"/>
        <w:keepLines w:val="0"/>
        <w:pageBreakBefore w:val="0"/>
        <w:widowControl/>
        <w:kinsoku/>
        <w:wordWrap/>
        <w:overflowPunct/>
        <w:topLinePunct w:val="0"/>
        <w:autoSpaceDE/>
        <w:autoSpaceDN/>
        <w:bidi w:val="0"/>
        <w:adjustRightInd/>
        <w:snapToGrid/>
        <w:spacing w:before="157" w:beforeLines="50" w:after="157" w:afterLines="50"/>
        <w:jc w:val="both"/>
        <w:textAlignment w:val="auto"/>
        <w:rPr>
          <w:rFonts w:hint="default"/>
          <w:b/>
          <w:bCs/>
          <w:i w:val="0"/>
          <w:iCs w:val="0"/>
          <w:sz w:val="21"/>
          <w:szCs w:val="21"/>
          <w:u w:val="single"/>
          <w:lang w:val="en-US" w:eastAsia="zh-CN"/>
        </w:rPr>
      </w:pPr>
      <w:r>
        <w:rPr>
          <w:rFonts w:hint="default"/>
          <w:b/>
          <w:bCs/>
          <w:i w:val="0"/>
          <w:iCs w:val="0"/>
          <w:sz w:val="21"/>
          <w:szCs w:val="21"/>
          <w:u w:val="single"/>
          <w:lang w:val="en-US" w:eastAsia="zh-CN"/>
        </w:rPr>
        <w:t>Scheduling restriction for dynamic TDD</w:t>
      </w:r>
    </w:p>
    <w:p>
      <w:pPr>
        <w:keepNext w:val="0"/>
        <w:keepLines w:val="0"/>
        <w:pageBreakBefore w:val="0"/>
        <w:widowControl/>
        <w:kinsoku/>
        <w:wordWrap/>
        <w:overflowPunct/>
        <w:topLinePunct w:val="0"/>
        <w:autoSpaceDE/>
        <w:autoSpaceDN/>
        <w:bidi w:val="0"/>
        <w:adjustRightInd/>
        <w:snapToGrid/>
        <w:spacing w:before="157" w:beforeLines="50" w:after="157" w:afterLines="50"/>
        <w:jc w:val="both"/>
        <w:textAlignment w:val="auto"/>
        <w:rPr>
          <w:rFonts w:hint="default"/>
          <w:lang w:val="en-US" w:eastAsia="zh-CN"/>
        </w:rPr>
      </w:pPr>
      <w:r>
        <w:rPr>
          <w:rFonts w:hint="eastAsia"/>
          <w:lang w:val="en-US" w:eastAsia="zh-CN"/>
        </w:rPr>
        <w:t>This issue was proposed from 103 meeting, the motivation is to additionally consider scheduling restriction for dynamic TDD. After the discussion in the recent two meetings, all options were still kept in [1]</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numPr>
                <w:ilvl w:val="0"/>
                <w:numId w:val="6"/>
              </w:numPr>
              <w:spacing w:after="120"/>
              <w:ind w:left="720"/>
              <w:rPr>
                <w:rFonts w:eastAsiaTheme="minorEastAsia"/>
                <w:lang w:val="sv-SE" w:eastAsia="zh-CN"/>
              </w:rPr>
            </w:pPr>
            <w:r>
              <w:rPr>
                <w:bCs/>
                <w:szCs w:val="24"/>
                <w:lang w:val="en-US"/>
              </w:rPr>
              <w:t xml:space="preserve">Option </w:t>
            </w:r>
            <w:r>
              <w:rPr>
                <w:rFonts w:eastAsiaTheme="minorEastAsia"/>
                <w:lang w:val="sv-SE" w:eastAsia="zh-CN"/>
              </w:rPr>
              <w:t>1:</w:t>
            </w:r>
          </w:p>
          <w:p>
            <w:pPr>
              <w:numPr>
                <w:ilvl w:val="1"/>
                <w:numId w:val="6"/>
              </w:numPr>
              <w:spacing w:after="120"/>
              <w:ind w:left="1440"/>
            </w:pPr>
            <w:r>
              <w:rPr>
                <w:bCs/>
                <w:szCs w:val="24"/>
                <w:lang w:val="en-US"/>
              </w:rPr>
              <w:t>Introduce scheduling restriction for dynamic TDD when L1-RSRP measurement on cell with different PCI overlaps with serving cell UL slots.</w:t>
            </w:r>
          </w:p>
          <w:p>
            <w:pPr>
              <w:numPr>
                <w:ilvl w:val="0"/>
                <w:numId w:val="6"/>
              </w:numPr>
              <w:spacing w:after="120"/>
              <w:ind w:left="720"/>
              <w:rPr>
                <w:rFonts w:eastAsiaTheme="minorEastAsia"/>
                <w:lang w:val="sv-SE" w:eastAsia="zh-CN"/>
              </w:rPr>
            </w:pPr>
            <w:r>
              <w:rPr>
                <w:bCs/>
                <w:szCs w:val="24"/>
                <w:lang w:val="en-US"/>
              </w:rPr>
              <w:t xml:space="preserve">Option </w:t>
            </w:r>
            <w:r>
              <w:rPr>
                <w:rFonts w:eastAsiaTheme="minorEastAsia"/>
                <w:lang w:val="sv-SE" w:eastAsia="zh-CN"/>
              </w:rPr>
              <w:t>1a:</w:t>
            </w:r>
          </w:p>
          <w:p>
            <w:pPr>
              <w:numPr>
                <w:ilvl w:val="1"/>
                <w:numId w:val="6"/>
              </w:numPr>
              <w:spacing w:after="120"/>
              <w:ind w:left="1440"/>
            </w:pPr>
            <w:r>
              <w:rPr>
                <w:bCs/>
                <w:szCs w:val="24"/>
                <w:lang w:val="en-US"/>
              </w:rPr>
              <w:t>Introduce scheduling restriction for dynamic TDD when L1-RSRP measurement on non-serving cell overlaps with serving cell UL slots. In addition, one OFDM symbol before and after SSB should also be considered because of TA.</w:t>
            </w:r>
          </w:p>
          <w:p>
            <w:pPr>
              <w:numPr>
                <w:ilvl w:val="0"/>
                <w:numId w:val="6"/>
              </w:numPr>
              <w:spacing w:after="120"/>
              <w:ind w:left="720"/>
              <w:rPr>
                <w:rFonts w:eastAsiaTheme="minorEastAsia"/>
                <w:lang w:val="sv-SE" w:eastAsia="zh-CN"/>
              </w:rPr>
            </w:pPr>
            <w:r>
              <w:rPr>
                <w:bCs/>
                <w:szCs w:val="24"/>
                <w:lang w:val="en-US"/>
              </w:rPr>
              <w:t xml:space="preserve">Option </w:t>
            </w:r>
            <w:r>
              <w:rPr>
                <w:rFonts w:eastAsiaTheme="minorEastAsia"/>
                <w:lang w:val="sv-SE" w:eastAsia="zh-CN"/>
              </w:rPr>
              <w:t>2:</w:t>
            </w:r>
          </w:p>
          <w:p>
            <w:pPr>
              <w:numPr>
                <w:ilvl w:val="1"/>
                <w:numId w:val="6"/>
              </w:numPr>
              <w:spacing w:after="120"/>
              <w:ind w:left="1440"/>
            </w:pPr>
            <w:r>
              <w:rPr>
                <w:bCs/>
                <w:szCs w:val="24"/>
                <w:lang w:val="en-US"/>
              </w:rPr>
              <w:t>Do not introduce scheduling restriction for dynamic TDD when L1-RSRP measurement on cell with different PCI overlaps with serving cell UL slots.</w:t>
            </w:r>
          </w:p>
          <w:p>
            <w:pPr>
              <w:numPr>
                <w:ilvl w:val="0"/>
                <w:numId w:val="6"/>
              </w:numPr>
              <w:spacing w:after="120"/>
              <w:ind w:left="720"/>
              <w:rPr>
                <w:rFonts w:eastAsiaTheme="minorEastAsia"/>
                <w:lang w:val="sv-SE" w:eastAsia="zh-CN"/>
              </w:rPr>
            </w:pPr>
            <w:r>
              <w:rPr>
                <w:bCs/>
                <w:szCs w:val="24"/>
                <w:lang w:val="en-US"/>
              </w:rPr>
              <w:t xml:space="preserve">Option </w:t>
            </w:r>
            <w:r>
              <w:rPr>
                <w:rFonts w:eastAsiaTheme="minorEastAsia"/>
                <w:lang w:val="sv-SE" w:eastAsia="zh-CN"/>
              </w:rPr>
              <w:t>3:</w:t>
            </w:r>
          </w:p>
          <w:p>
            <w:pPr>
              <w:numPr>
                <w:ilvl w:val="1"/>
                <w:numId w:val="6"/>
              </w:numPr>
              <w:spacing w:after="120"/>
              <w:ind w:left="1440"/>
              <w:rPr>
                <w:rFonts w:hint="default" w:eastAsia="宋体"/>
                <w:bCs/>
                <w:vertAlign w:val="baseline"/>
                <w:lang w:val="en-US" w:eastAsia="zh-CN"/>
              </w:rPr>
            </w:pPr>
            <w:r>
              <w:rPr>
                <w:bCs/>
                <w:szCs w:val="24"/>
                <w:lang w:val="en-US"/>
              </w:rPr>
              <w:t>For the scheduling restriction due to L1-RSRP measurement on cell with different PCI, RAN 4 has agreed that the timing offset between serving cell and cell with different PCI should be less than CP, thus no need to introduce additional 1 slot scheduling restriction even considering dynamic TDD.</w:t>
            </w:r>
          </w:p>
        </w:tc>
      </w:tr>
    </w:tbl>
    <w:p>
      <w:pPr>
        <w:keepNext w:val="0"/>
        <w:keepLines w:val="0"/>
        <w:pageBreakBefore w:val="0"/>
        <w:widowControl/>
        <w:kinsoku/>
        <w:wordWrap/>
        <w:overflowPunct/>
        <w:topLinePunct w:val="0"/>
        <w:autoSpaceDE/>
        <w:autoSpaceDN/>
        <w:bidi w:val="0"/>
        <w:adjustRightInd/>
        <w:snapToGrid/>
        <w:spacing w:before="157" w:beforeLines="50" w:after="157" w:afterLines="50"/>
        <w:jc w:val="both"/>
        <w:textAlignment w:val="auto"/>
        <w:rPr>
          <w:rFonts w:hint="eastAsia"/>
          <w:lang w:val="en-US" w:eastAsia="zh-CN"/>
        </w:rPr>
      </w:pPr>
      <w:r>
        <w:rPr>
          <w:rFonts w:hint="eastAsia"/>
          <w:lang w:val="en-US" w:eastAsia="zh-CN"/>
        </w:rPr>
        <w:t>During discussion on this issue, the following two options were proposed:</w:t>
      </w:r>
    </w:p>
    <w:p>
      <w:pPr>
        <w:keepNext w:val="0"/>
        <w:keepLines w:val="0"/>
        <w:pageBreakBefore w:val="0"/>
        <w:widowControl/>
        <w:kinsoku/>
        <w:wordWrap/>
        <w:overflowPunct/>
        <w:topLinePunct w:val="0"/>
        <w:autoSpaceDE/>
        <w:autoSpaceDN/>
        <w:bidi w:val="0"/>
        <w:adjustRightInd/>
        <w:snapToGrid/>
        <w:spacing w:before="157" w:beforeLines="50" w:after="157" w:afterLines="50"/>
        <w:jc w:val="both"/>
        <w:textAlignment w:val="auto"/>
        <w:rPr>
          <w:rFonts w:hint="eastAsia"/>
          <w:lang w:val="en-US" w:eastAsia="zh-CN"/>
        </w:rPr>
      </w:pPr>
      <w:r>
        <w:rPr>
          <w:rFonts w:hint="eastAsia"/>
          <w:lang w:val="en-US" w:eastAsia="zh-CN"/>
        </w:rPr>
        <w:t xml:space="preserve">The motivation of Option 1/1a is to introduce additional scheduling restriction for the the cell with different PCI since of the possible UL transmission in UL/flexible symbol on serving cell. In our opinion, based on current 38.133, it has specified that the scheduling restriction for RRM measurement under TDD, i.e. RRM measurement is prioritized than UL transmission. While referring to L1-RSRP measurement, current 38.133 also has identified the scheduling restriction for the case of UE not capable of </w:t>
      </w:r>
      <w:r>
        <w:rPr>
          <w:i/>
        </w:rPr>
        <w:t>simultaneousRxDataSSB-DiffNumerology</w:t>
      </w:r>
      <w:r>
        <w:rPr>
          <w:rFonts w:hint="eastAsia"/>
          <w:lang w:val="en-US" w:eastAsia="zh-CN"/>
        </w:rPr>
        <w:t>. The difference between the scheduling restriction of RRM measurement and L1-RSRP measurement is whether the adjacent symbol before and after SSB should be restricted. So it can be deduced that both RRM measurement and L1-RSRP measurement are prioritized than UL transmission in the intra-band serving cells. If such requirement is extended to the cell with different PCI, it seems reasonable. Referring to whether need to apply restriction on the adjacent symbol before and after SSB, we believe this should be discussed focus on serving cell first. Than for the cell with different PCI, reusing the same restriction as serving cell.</w:t>
      </w:r>
    </w:p>
    <w:p>
      <w:pPr>
        <w:keepNext w:val="0"/>
        <w:keepLines w:val="0"/>
        <w:pageBreakBefore w:val="0"/>
        <w:widowControl/>
        <w:kinsoku/>
        <w:wordWrap/>
        <w:overflowPunct/>
        <w:topLinePunct w:val="0"/>
        <w:autoSpaceDE/>
        <w:autoSpaceDN/>
        <w:bidi w:val="0"/>
        <w:adjustRightInd/>
        <w:snapToGrid/>
        <w:spacing w:before="157" w:beforeLines="50" w:after="157" w:afterLines="50"/>
        <w:jc w:val="both"/>
        <w:textAlignment w:val="auto"/>
        <w:rPr>
          <w:rFonts w:hint="default" w:eastAsia="宋体" w:cs="Times New Roman"/>
          <w:b/>
          <w:bCs/>
          <w:color w:val="auto"/>
          <w:sz w:val="21"/>
          <w:szCs w:val="21"/>
          <w:highlight w:val="none"/>
          <w:lang w:val="en-US" w:eastAsia="zh-CN" w:bidi="ar-SA"/>
        </w:rPr>
      </w:pPr>
      <w:r>
        <w:rPr>
          <w:rFonts w:hint="eastAsia" w:eastAsia="宋体" w:cs="Times New Roman"/>
          <w:b/>
          <w:bCs/>
          <w:color w:val="auto"/>
          <w:sz w:val="21"/>
          <w:szCs w:val="21"/>
          <w:highlight w:val="none"/>
          <w:lang w:val="en-US" w:eastAsia="zh-CN" w:bidi="ar-SA"/>
        </w:rPr>
        <w:t>Observation 1</w:t>
      </w:r>
      <w:r>
        <w:rPr>
          <w:rFonts w:hint="eastAsia" w:ascii="Times New Roman" w:hAnsi="Times New Roman" w:eastAsia="宋体" w:cs="Times New Roman"/>
          <w:b/>
          <w:bCs/>
          <w:color w:val="auto"/>
          <w:sz w:val="21"/>
          <w:szCs w:val="21"/>
          <w:highlight w:val="none"/>
          <w:lang w:val="en-US" w:eastAsia="zh-CN" w:bidi="ar-SA"/>
        </w:rPr>
        <w:t xml:space="preserve">: </w:t>
      </w:r>
      <w:r>
        <w:rPr>
          <w:rFonts w:hint="eastAsia" w:eastAsia="宋体" w:cs="Times New Roman"/>
          <w:b/>
          <w:bCs/>
          <w:color w:val="auto"/>
          <w:sz w:val="21"/>
          <w:szCs w:val="21"/>
          <w:highlight w:val="none"/>
          <w:lang w:val="en-US" w:eastAsia="zh-CN" w:bidi="ar-SA"/>
        </w:rPr>
        <w:t>According to legacy requirement, both RRM measurement and L1-RSRP measurement are prioritized than DL/UL transmission. The difference between scheduling restriction since of RRM measurement and L1-RSRP measurement are whether adjacent symbol before and after SSB should be restricted.</w:t>
      </w:r>
    </w:p>
    <w:p>
      <w:pPr>
        <w:keepNext w:val="0"/>
        <w:keepLines w:val="0"/>
        <w:pageBreakBefore w:val="0"/>
        <w:widowControl/>
        <w:kinsoku/>
        <w:wordWrap/>
        <w:overflowPunct/>
        <w:topLinePunct w:val="0"/>
        <w:autoSpaceDE/>
        <w:autoSpaceDN/>
        <w:bidi w:val="0"/>
        <w:adjustRightInd/>
        <w:snapToGrid/>
        <w:spacing w:before="157" w:beforeLines="50" w:after="157" w:afterLines="50"/>
        <w:jc w:val="both"/>
        <w:textAlignment w:val="auto"/>
        <w:rPr>
          <w:rFonts w:hint="eastAsia" w:eastAsia="宋体" w:cs="Times New Roman"/>
          <w:b/>
          <w:bCs/>
          <w:color w:val="auto"/>
          <w:sz w:val="21"/>
          <w:szCs w:val="21"/>
          <w:highlight w:val="none"/>
          <w:lang w:val="en-US" w:eastAsia="zh-CN" w:bidi="ar-SA"/>
        </w:rPr>
      </w:pPr>
      <w:r>
        <w:rPr>
          <w:rFonts w:hint="eastAsia" w:eastAsia="宋体" w:cs="Times New Roman"/>
          <w:b/>
          <w:bCs/>
          <w:color w:val="auto"/>
          <w:sz w:val="21"/>
          <w:szCs w:val="21"/>
          <w:highlight w:val="none"/>
          <w:lang w:val="en-US" w:eastAsia="zh-CN" w:bidi="ar-SA"/>
        </w:rPr>
        <w:t>Proposal 1</w:t>
      </w:r>
      <w:r>
        <w:rPr>
          <w:rFonts w:hint="eastAsia" w:ascii="Times New Roman" w:hAnsi="Times New Roman" w:eastAsia="宋体" w:cs="Times New Roman"/>
          <w:b/>
          <w:bCs/>
          <w:color w:val="auto"/>
          <w:sz w:val="21"/>
          <w:szCs w:val="21"/>
          <w:highlight w:val="none"/>
          <w:lang w:val="en-US" w:eastAsia="zh-CN" w:bidi="ar-SA"/>
        </w:rPr>
        <w:t xml:space="preserve">: </w:t>
      </w:r>
      <w:r>
        <w:rPr>
          <w:rFonts w:hint="eastAsia" w:eastAsia="宋体" w:cs="Times New Roman"/>
          <w:b/>
          <w:bCs/>
          <w:color w:val="auto"/>
          <w:sz w:val="21"/>
          <w:szCs w:val="21"/>
          <w:highlight w:val="none"/>
          <w:lang w:val="en-US" w:eastAsia="zh-CN" w:bidi="ar-SA"/>
        </w:rPr>
        <w:t>For the scheduling restriction due to L1-RSRP measurement on cell with different PCI, reusing the scheduling restriction due to L1-RSRP measurement on serving cell is fine. Whether the adjacent symbol before and after SSB should be restricted, which should be aligned with the specification for L1-RSRP measurement on serving cell.</w:t>
      </w:r>
    </w:p>
    <w:p>
      <w:pPr>
        <w:keepNext w:val="0"/>
        <w:keepLines w:val="0"/>
        <w:pageBreakBefore w:val="0"/>
        <w:widowControl/>
        <w:kinsoku/>
        <w:wordWrap/>
        <w:overflowPunct/>
        <w:topLinePunct w:val="0"/>
        <w:autoSpaceDE/>
        <w:autoSpaceDN/>
        <w:bidi w:val="0"/>
        <w:adjustRightInd/>
        <w:snapToGrid/>
        <w:spacing w:before="157" w:beforeLines="50" w:after="157" w:afterLines="50"/>
        <w:jc w:val="both"/>
        <w:textAlignment w:val="auto"/>
        <w:rPr>
          <w:rFonts w:hint="eastAsia" w:eastAsia="宋体" w:cs="Times New Roman"/>
          <w:b/>
          <w:bCs/>
          <w:color w:val="auto"/>
          <w:sz w:val="21"/>
          <w:szCs w:val="21"/>
          <w:highlight w:val="none"/>
          <w:lang w:val="en-US" w:eastAsia="zh-CN" w:bidi="ar-SA"/>
        </w:rPr>
      </w:pPr>
    </w:p>
    <w:p>
      <w:pPr>
        <w:keepNext w:val="0"/>
        <w:keepLines w:val="0"/>
        <w:pageBreakBefore w:val="0"/>
        <w:widowControl/>
        <w:kinsoku/>
        <w:wordWrap/>
        <w:overflowPunct/>
        <w:topLinePunct w:val="0"/>
        <w:autoSpaceDE/>
        <w:autoSpaceDN/>
        <w:bidi w:val="0"/>
        <w:adjustRightInd/>
        <w:snapToGrid/>
        <w:spacing w:before="157" w:beforeLines="50" w:after="157" w:afterLines="50"/>
        <w:jc w:val="both"/>
        <w:textAlignment w:val="auto"/>
        <w:rPr>
          <w:rFonts w:hint="default"/>
          <w:b/>
          <w:bCs/>
          <w:i w:val="0"/>
          <w:iCs w:val="0"/>
          <w:sz w:val="21"/>
          <w:szCs w:val="21"/>
          <w:u w:val="single"/>
          <w:lang w:val="en-US" w:eastAsia="zh-CN"/>
        </w:rPr>
      </w:pPr>
      <w:r>
        <w:rPr>
          <w:rFonts w:hint="default"/>
          <w:b/>
          <w:bCs/>
          <w:i w:val="0"/>
          <w:iCs w:val="0"/>
          <w:sz w:val="21"/>
          <w:szCs w:val="21"/>
          <w:u w:val="single"/>
          <w:lang w:val="en-US" w:eastAsia="zh-CN"/>
        </w:rPr>
        <w:t>Whether to define scheduling restriction for non-serving cell</w:t>
      </w:r>
    </w:p>
    <w:p>
      <w:pPr>
        <w:keepNext w:val="0"/>
        <w:keepLines w:val="0"/>
        <w:pageBreakBefore w:val="0"/>
        <w:widowControl/>
        <w:kinsoku/>
        <w:wordWrap/>
        <w:overflowPunct/>
        <w:topLinePunct w:val="0"/>
        <w:autoSpaceDE/>
        <w:autoSpaceDN/>
        <w:bidi w:val="0"/>
        <w:adjustRightInd/>
        <w:snapToGrid/>
        <w:spacing w:before="157" w:beforeLines="50" w:after="157" w:afterLines="50"/>
        <w:jc w:val="both"/>
        <w:textAlignment w:val="auto"/>
        <w:rPr>
          <w:rFonts w:hint="eastAsia"/>
          <w:lang w:val="en-US" w:eastAsia="zh-CN"/>
        </w:rPr>
      </w:pPr>
      <w:r>
        <w:rPr>
          <w:rFonts w:hint="eastAsia"/>
          <w:lang w:val="en-US" w:eastAsia="zh-CN"/>
        </w:rPr>
        <w:t>Some company believe the scheduling restriction on the cell with different PCI since of L1-SINR measurement, BFD, CBD and RLM on serving cell should be introduced. After the discussion during last meeting, the following options were kept in the WF:</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numPr>
                <w:ilvl w:val="0"/>
                <w:numId w:val="6"/>
              </w:numPr>
              <w:spacing w:after="120"/>
              <w:ind w:left="720"/>
              <w:rPr>
                <w:rFonts w:eastAsiaTheme="minorEastAsia"/>
                <w:lang w:val="sv-SE" w:eastAsia="zh-CN"/>
              </w:rPr>
            </w:pPr>
            <w:r>
              <w:rPr>
                <w:rFonts w:eastAsiaTheme="minorEastAsia"/>
                <w:lang w:val="sv-SE" w:eastAsia="zh-CN"/>
              </w:rPr>
              <w:t>Option 1:</w:t>
            </w:r>
          </w:p>
          <w:p>
            <w:pPr>
              <w:numPr>
                <w:ilvl w:val="1"/>
                <w:numId w:val="6"/>
              </w:numPr>
              <w:spacing w:after="120"/>
              <w:ind w:left="1440"/>
            </w:pPr>
            <w:r>
              <w:rPr>
                <w:lang w:val="en-US"/>
              </w:rPr>
              <w:t>Introduce scheduling restriction on non-serving cell when UE performs L1-SINR measurement, BFD, CBD, RLM on serving cell.</w:t>
            </w:r>
          </w:p>
          <w:p>
            <w:pPr>
              <w:numPr>
                <w:ilvl w:val="0"/>
                <w:numId w:val="6"/>
              </w:numPr>
              <w:spacing w:after="120"/>
              <w:ind w:left="720"/>
              <w:rPr>
                <w:rFonts w:eastAsiaTheme="minorEastAsia"/>
                <w:lang w:val="sv-SE" w:eastAsia="zh-CN"/>
              </w:rPr>
            </w:pPr>
            <w:r>
              <w:rPr>
                <w:rFonts w:eastAsiaTheme="minorEastAsia"/>
                <w:lang w:val="sv-SE" w:eastAsia="zh-CN"/>
              </w:rPr>
              <w:t>Option 2:</w:t>
            </w:r>
          </w:p>
          <w:p>
            <w:pPr>
              <w:numPr>
                <w:ilvl w:val="1"/>
                <w:numId w:val="6"/>
              </w:numPr>
              <w:spacing w:after="120"/>
              <w:ind w:left="1440"/>
              <w:rPr>
                <w:rFonts w:hint="default"/>
                <w:vertAlign w:val="baseline"/>
                <w:lang w:val="en-US" w:eastAsia="zh-CN"/>
              </w:rPr>
            </w:pPr>
            <w:r>
              <w:rPr>
                <w:lang w:val="en-US"/>
              </w:rPr>
              <w:t>Option 1 is not needed.</w:t>
            </w:r>
          </w:p>
        </w:tc>
      </w:tr>
    </w:tbl>
    <w:p>
      <w:pPr>
        <w:keepNext w:val="0"/>
        <w:keepLines w:val="0"/>
        <w:pageBreakBefore w:val="0"/>
        <w:widowControl/>
        <w:kinsoku/>
        <w:wordWrap/>
        <w:overflowPunct/>
        <w:topLinePunct w:val="0"/>
        <w:autoSpaceDE/>
        <w:autoSpaceDN/>
        <w:bidi w:val="0"/>
        <w:adjustRightInd/>
        <w:snapToGrid/>
        <w:spacing w:before="157" w:beforeLines="50" w:after="157" w:afterLines="50"/>
        <w:jc w:val="both"/>
        <w:textAlignment w:val="auto"/>
        <w:rPr>
          <w:rFonts w:hint="eastAsia"/>
          <w:lang w:val="en-US" w:eastAsia="zh-CN"/>
        </w:rPr>
      </w:pPr>
      <w:r>
        <w:rPr>
          <w:rFonts w:hint="eastAsia"/>
          <w:lang w:val="en-US" w:eastAsia="zh-CN"/>
        </w:rPr>
        <w:t xml:space="preserve">Firstly, here the </w:t>
      </w:r>
      <w:r>
        <w:rPr>
          <w:rFonts w:hint="default"/>
          <w:lang w:val="en-US" w:eastAsia="zh-CN"/>
        </w:rPr>
        <w:t>“</w:t>
      </w:r>
      <w:r>
        <w:rPr>
          <w:rFonts w:hint="eastAsia"/>
          <w:lang w:val="en-US" w:eastAsia="zh-CN"/>
        </w:rPr>
        <w:t>non-serving cell</w:t>
      </w:r>
      <w:r>
        <w:rPr>
          <w:rFonts w:hint="default"/>
          <w:lang w:val="en-US" w:eastAsia="zh-CN"/>
        </w:rPr>
        <w:t>”</w:t>
      </w:r>
      <w:r>
        <w:rPr>
          <w:rFonts w:hint="eastAsia"/>
          <w:lang w:val="en-US" w:eastAsia="zh-CN"/>
        </w:rPr>
        <w:t xml:space="preserve"> in Option 1 is not precise enough, it should be revised to </w:t>
      </w:r>
      <w:r>
        <w:rPr>
          <w:rFonts w:hint="default"/>
          <w:lang w:val="en-US" w:eastAsia="zh-CN"/>
        </w:rPr>
        <w:t>“</w:t>
      </w:r>
      <w:r>
        <w:rPr>
          <w:rFonts w:hint="eastAsia"/>
          <w:lang w:val="en-US" w:eastAsia="zh-CN"/>
        </w:rPr>
        <w:t>the cell with different PCI</w:t>
      </w:r>
      <w:r>
        <w:rPr>
          <w:rFonts w:hint="default"/>
          <w:lang w:val="en-US" w:eastAsia="zh-CN"/>
        </w:rPr>
        <w:t>”</w:t>
      </w:r>
      <w:r>
        <w:rPr>
          <w:rFonts w:hint="eastAsia"/>
          <w:lang w:val="en-US" w:eastAsia="zh-CN"/>
        </w:rPr>
        <w:t xml:space="preserve">. </w:t>
      </w:r>
    </w:p>
    <w:p>
      <w:pPr>
        <w:keepNext w:val="0"/>
        <w:keepLines w:val="0"/>
        <w:pageBreakBefore w:val="0"/>
        <w:widowControl/>
        <w:kinsoku/>
        <w:wordWrap/>
        <w:overflowPunct/>
        <w:topLinePunct w:val="0"/>
        <w:autoSpaceDE/>
        <w:autoSpaceDN/>
        <w:bidi w:val="0"/>
        <w:adjustRightInd/>
        <w:snapToGrid/>
        <w:spacing w:before="157" w:beforeLines="50" w:after="157" w:afterLines="50"/>
        <w:jc w:val="both"/>
        <w:textAlignment w:val="auto"/>
        <w:rPr>
          <w:rFonts w:hint="eastAsia"/>
          <w:lang w:val="en-US" w:eastAsia="zh-CN"/>
        </w:rPr>
      </w:pPr>
      <w:r>
        <w:rPr>
          <w:rFonts w:hint="eastAsia"/>
          <w:lang w:val="en-US" w:eastAsia="zh-CN"/>
        </w:rPr>
        <w:t>According to the discussion during last meeting, many companies share the similar view that the cell with different PCI is also a TRP of serving cell, so not need additional scheduling restriction on the cell with different PCI, since it also belongs to serving cell, directly reusing the scheduling restriction on serving cell since of L1-SINR measurement, BFD, CBD, RLM on serving cell is enough. We agree with this view. Therefore, Option 2 is recommended.</w:t>
      </w:r>
    </w:p>
    <w:p>
      <w:pPr>
        <w:keepNext w:val="0"/>
        <w:keepLines w:val="0"/>
        <w:pageBreakBefore w:val="0"/>
        <w:widowControl/>
        <w:kinsoku/>
        <w:wordWrap/>
        <w:overflowPunct/>
        <w:topLinePunct w:val="0"/>
        <w:autoSpaceDE/>
        <w:autoSpaceDN/>
        <w:bidi w:val="0"/>
        <w:adjustRightInd/>
        <w:snapToGrid/>
        <w:spacing w:before="157" w:beforeLines="50" w:after="157" w:afterLines="50"/>
        <w:jc w:val="both"/>
        <w:textAlignment w:val="auto"/>
        <w:rPr>
          <w:rFonts w:hint="default"/>
          <w:lang w:val="en-US" w:eastAsia="zh-CN"/>
        </w:rPr>
      </w:pPr>
      <w:r>
        <w:rPr>
          <w:rFonts w:hint="eastAsia" w:eastAsia="宋体" w:cs="Times New Roman"/>
          <w:b/>
          <w:bCs/>
          <w:color w:val="auto"/>
          <w:sz w:val="21"/>
          <w:szCs w:val="21"/>
          <w:highlight w:val="none"/>
          <w:lang w:val="en-US" w:eastAsia="zh-CN" w:bidi="ar-SA"/>
        </w:rPr>
        <w:t>Proposal 2</w:t>
      </w:r>
      <w:r>
        <w:rPr>
          <w:rFonts w:hint="eastAsia" w:ascii="Times New Roman" w:hAnsi="Times New Roman" w:eastAsia="宋体" w:cs="Times New Roman"/>
          <w:b/>
          <w:bCs/>
          <w:color w:val="auto"/>
          <w:sz w:val="21"/>
          <w:szCs w:val="21"/>
          <w:highlight w:val="none"/>
          <w:lang w:val="en-US" w:eastAsia="zh-CN" w:bidi="ar-SA"/>
        </w:rPr>
        <w:t xml:space="preserve">: </w:t>
      </w:r>
      <w:r>
        <w:rPr>
          <w:rFonts w:hint="eastAsia" w:eastAsia="宋体" w:cs="Times New Roman"/>
          <w:b/>
          <w:bCs/>
          <w:color w:val="auto"/>
          <w:sz w:val="21"/>
          <w:szCs w:val="21"/>
          <w:highlight w:val="none"/>
          <w:lang w:val="en-US" w:eastAsia="zh-CN" w:bidi="ar-SA"/>
        </w:rPr>
        <w:t xml:space="preserve">Given that the cell with different PCI also belongs to serving cell, which is a TRP of serving cell, so not need to introduce any additional scheduling restriction on the cell with different PCI. Directly reusing the scheduling restriction specified on serving cell since of L1-SINR measurement, BFD, CBD, RLM on serving cell is enough. </w:t>
      </w:r>
    </w:p>
    <w:p>
      <w:pPr>
        <w:pStyle w:val="3"/>
        <w:bidi w:val="0"/>
        <w:rPr>
          <w:rFonts w:hint="eastAsia"/>
          <w:color w:val="auto"/>
          <w:sz w:val="28"/>
          <w:szCs w:val="28"/>
          <w:highlight w:val="none"/>
          <w:lang w:val="en-US" w:eastAsia="zh-CN"/>
        </w:rPr>
      </w:pPr>
      <w:r>
        <w:rPr>
          <w:rFonts w:hint="eastAsia"/>
          <w:color w:val="auto"/>
          <w:sz w:val="28"/>
          <w:szCs w:val="28"/>
          <w:highlight w:val="none"/>
          <w:lang w:val="en-US" w:eastAsia="zh-CN"/>
        </w:rPr>
        <w:t>2.3 Applicability of ICBM</w:t>
      </w:r>
    </w:p>
    <w:p>
      <w:pPr>
        <w:keepNext w:val="0"/>
        <w:keepLines w:val="0"/>
        <w:pageBreakBefore w:val="0"/>
        <w:widowControl/>
        <w:kinsoku/>
        <w:wordWrap/>
        <w:overflowPunct/>
        <w:topLinePunct w:val="0"/>
        <w:autoSpaceDE/>
        <w:autoSpaceDN/>
        <w:bidi w:val="0"/>
        <w:adjustRightInd/>
        <w:snapToGrid/>
        <w:spacing w:before="157" w:beforeLines="50" w:after="157" w:afterLines="50"/>
        <w:jc w:val="both"/>
        <w:textAlignment w:val="auto"/>
        <w:rPr>
          <w:rFonts w:hint="eastAsia"/>
          <w:lang w:val="en-US" w:eastAsia="zh-CN"/>
        </w:rPr>
      </w:pPr>
      <w:r>
        <w:rPr>
          <w:rFonts w:hint="eastAsia"/>
          <w:lang w:val="en-US" w:eastAsia="zh-CN"/>
        </w:rPr>
        <w:t>Around the applicability of ICBM, the candidate rules are diverse, finally almost of them were kept in the WF of 104 meeting:</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numPr>
                <w:ilvl w:val="0"/>
                <w:numId w:val="6"/>
              </w:numPr>
              <w:spacing w:after="120"/>
              <w:ind w:left="720"/>
              <w:rPr>
                <w:rFonts w:eastAsiaTheme="minorEastAsia"/>
                <w:lang w:val="sv-SE" w:eastAsia="zh-CN"/>
              </w:rPr>
            </w:pPr>
            <w:r>
              <w:rPr>
                <w:rFonts w:eastAsiaTheme="minorEastAsia"/>
                <w:lang w:val="en-US" w:eastAsia="zh-CN"/>
              </w:rPr>
              <w:t>Option 1</w:t>
            </w:r>
            <w:r>
              <w:rPr>
                <w:rFonts w:eastAsiaTheme="minorEastAsia"/>
                <w:lang w:val="sv-SE" w:eastAsia="zh-CN"/>
              </w:rPr>
              <w:t>:</w:t>
            </w:r>
          </w:p>
          <w:p>
            <w:pPr>
              <w:numPr>
                <w:ilvl w:val="1"/>
                <w:numId w:val="6"/>
              </w:numPr>
              <w:spacing w:after="120"/>
            </w:pPr>
            <w:r>
              <w:t>For intra-band ICBM using common TCI configurations, different reference CCs in the same CC list between the serving cell and a cell with different PCI is not supported in R17.(ZTE,Intel)</w:t>
            </w:r>
          </w:p>
          <w:p>
            <w:pPr>
              <w:numPr>
                <w:ilvl w:val="1"/>
                <w:numId w:val="6"/>
              </w:numPr>
              <w:spacing w:after="120"/>
            </w:pPr>
            <w:r>
              <w:t>For intra-band ICBM using common TCI configurations, requirements are defined for the case when SSB measurements for a cell with different PCI are only performed in the cell that has the same SSB frequency as the reference CC.</w:t>
            </w:r>
          </w:p>
          <w:p>
            <w:pPr>
              <w:numPr>
                <w:ilvl w:val="1"/>
                <w:numId w:val="6"/>
              </w:numPr>
              <w:spacing w:after="120"/>
            </w:pPr>
            <w:r>
              <w:t>R17 ICBM feature is applicable to FR1 HST and FR2 HST. If RAN4 identifies any issue in applying HST related enhancements to ICBM related RRM requirements, RAN4 solve them in the R17 maintenance phase. (ZTE, CMCC)</w:t>
            </w:r>
          </w:p>
          <w:p>
            <w:pPr>
              <w:numPr>
                <w:ilvl w:val="1"/>
                <w:numId w:val="6"/>
              </w:numPr>
              <w:spacing w:after="120"/>
            </w:pPr>
            <w:r>
              <w:t>R17 ICBM feature is applicable to the scenarios when UE is configured with R17 enhanced gaps. If RAN4 identifies any issue in applying R17 enhanced gaps to ICBM related RRM requirements, RAN4 solve them in the R17 maintenance phase.</w:t>
            </w:r>
          </w:p>
          <w:p>
            <w:pPr>
              <w:numPr>
                <w:ilvl w:val="0"/>
                <w:numId w:val="6"/>
              </w:numPr>
              <w:spacing w:after="120"/>
              <w:ind w:left="720"/>
              <w:rPr>
                <w:rFonts w:eastAsiaTheme="minorEastAsia"/>
                <w:lang w:val="sv-SE" w:eastAsia="zh-CN"/>
              </w:rPr>
            </w:pPr>
            <w:r>
              <w:rPr>
                <w:rFonts w:eastAsiaTheme="minorEastAsia"/>
                <w:lang w:val="en-US" w:eastAsia="zh-CN"/>
              </w:rPr>
              <w:t>Option 2</w:t>
            </w:r>
            <w:r>
              <w:rPr>
                <w:rFonts w:eastAsiaTheme="minorEastAsia"/>
                <w:lang w:val="sv-SE" w:eastAsia="zh-CN"/>
              </w:rPr>
              <w:t>:</w:t>
            </w:r>
          </w:p>
          <w:p>
            <w:pPr>
              <w:numPr>
                <w:ilvl w:val="1"/>
                <w:numId w:val="6"/>
              </w:numPr>
              <w:spacing w:after="120"/>
              <w:rPr>
                <w:rFonts w:hint="default"/>
                <w:highlight w:val="none"/>
                <w:vertAlign w:val="baseline"/>
                <w:lang w:val="en-US" w:eastAsia="zh-CN"/>
              </w:rPr>
            </w:pPr>
            <w:r>
              <w:rPr>
                <w:lang w:val="en-US"/>
              </w:rPr>
              <w:t>Not in favor of extending ICBM requirements for concurrent R17 Wis</w:t>
            </w:r>
          </w:p>
        </w:tc>
      </w:tr>
    </w:tbl>
    <w:p>
      <w:pPr>
        <w:keepNext w:val="0"/>
        <w:keepLines w:val="0"/>
        <w:pageBreakBefore w:val="0"/>
        <w:widowControl/>
        <w:kinsoku/>
        <w:wordWrap/>
        <w:overflowPunct/>
        <w:topLinePunct w:val="0"/>
        <w:autoSpaceDE/>
        <w:autoSpaceDN/>
        <w:bidi w:val="0"/>
        <w:adjustRightInd/>
        <w:snapToGrid/>
        <w:spacing w:before="157" w:beforeLines="50" w:after="157" w:afterLines="50"/>
        <w:jc w:val="both"/>
        <w:textAlignment w:val="auto"/>
        <w:rPr>
          <w:rFonts w:hint="eastAsia"/>
          <w:lang w:val="en-US" w:eastAsia="zh-CN"/>
        </w:rPr>
      </w:pPr>
      <w:r>
        <w:rPr>
          <w:rFonts w:hint="eastAsia"/>
          <w:lang w:val="en-US" w:eastAsia="zh-CN"/>
        </w:rPr>
        <w:t>About all sub-bullets still FFS, we try to analysis one by one.</w:t>
      </w:r>
    </w:p>
    <w:p>
      <w:pPr>
        <w:numPr>
          <w:ilvl w:val="0"/>
          <w:numId w:val="7"/>
        </w:numPr>
        <w:spacing w:after="120"/>
        <w:ind w:left="420" w:leftChars="0" w:hanging="420" w:firstLineChars="0"/>
      </w:pPr>
      <w:r>
        <w:t>For intra-band ICBM using common TCI configurations, different reference CCs in the same CC list between the serving cell and a cell with different PCI is not supported in R17.</w:t>
      </w:r>
    </w:p>
    <w:p>
      <w:pPr>
        <w:numPr>
          <w:ilvl w:val="0"/>
          <w:numId w:val="0"/>
        </w:numPr>
        <w:spacing w:after="120"/>
        <w:rPr>
          <w:rFonts w:hint="eastAsia"/>
          <w:lang w:val="en-US" w:eastAsia="zh-CN"/>
        </w:rPr>
      </w:pPr>
      <w:r>
        <w:rPr>
          <w:rFonts w:hint="eastAsia"/>
          <w:lang w:val="en-US" w:eastAsia="zh-CN"/>
        </w:rPr>
        <w:t xml:space="preserve">The concept of </w:t>
      </w:r>
      <w:r>
        <w:rPr>
          <w:rFonts w:hint="default"/>
          <w:lang w:val="en-US" w:eastAsia="zh-CN"/>
        </w:rPr>
        <w:t>‘</w:t>
      </w:r>
      <w:r>
        <w:rPr>
          <w:rFonts w:hint="eastAsia"/>
          <w:lang w:val="en-US" w:eastAsia="zh-CN"/>
        </w:rPr>
        <w:t>common TCI configuration</w:t>
      </w:r>
      <w:r>
        <w:rPr>
          <w:rFonts w:hint="default"/>
          <w:lang w:val="en-US" w:eastAsia="zh-CN"/>
        </w:rPr>
        <w:t>’</w:t>
      </w:r>
      <w:r>
        <w:rPr>
          <w:rFonts w:hint="eastAsia"/>
          <w:lang w:val="en-US" w:eastAsia="zh-CN"/>
        </w:rPr>
        <w:t xml:space="preserve"> is under CA case. Based on Rel-17, all component CCs can be divided into 4 CC lists at most. Only one CC can be the reference CC in a CC list. The structure of one CC list can be shown as below. Until now, RAN 1 does not have any discussion mixed with common TCI configuration and ICBM. But based on the structure of CC list, we suggest more clarification is necessary based on this sub-bullets:</w:t>
      </w:r>
    </w:p>
    <w:p>
      <w:pPr>
        <w:numPr>
          <w:ilvl w:val="0"/>
          <w:numId w:val="8"/>
        </w:numPr>
        <w:spacing w:after="120"/>
        <w:ind w:left="840" w:leftChars="0" w:hanging="420" w:firstLineChars="0"/>
        <w:rPr>
          <w:rFonts w:hint="default"/>
          <w:lang w:val="en-US" w:eastAsia="zh-CN"/>
        </w:rPr>
      </w:pPr>
      <w:r>
        <w:t>For intra-band ICBM using common TCI configurations, different reference CCs in the same CC list between the serving cell and a cell with different PCI is not supported in R17.</w:t>
      </w:r>
      <w:r>
        <w:rPr>
          <w:rFonts w:hint="eastAsia" w:eastAsia="宋体"/>
          <w:lang w:val="en-US" w:eastAsia="zh-CN"/>
        </w:rPr>
        <w:t xml:space="preserve"> </w:t>
      </w:r>
      <w:r>
        <w:rPr>
          <w:rFonts w:hint="eastAsia"/>
          <w:lang w:val="en-US" w:eastAsia="zh-CN"/>
        </w:rPr>
        <w:t xml:space="preserve">Same reference CC is applicable for serving cell and a cell with different PCI in a CC list. The serving cell and cell with different PCI in the reference CC are referenced by other serving cells and cells with different PCI respectively in the CC list. </w:t>
      </w:r>
    </w:p>
    <w:p>
      <w:pPr>
        <w:numPr>
          <w:ilvl w:val="0"/>
          <w:numId w:val="0"/>
        </w:numPr>
        <w:spacing w:after="120"/>
        <w:jc w:val="center"/>
      </w:pPr>
      <w:r>
        <w:drawing>
          <wp:inline distT="0" distB="0" distL="114300" distR="114300">
            <wp:extent cx="2339340" cy="1139190"/>
            <wp:effectExtent l="0" t="0" r="7620" b="3810"/>
            <wp:docPr id="9"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2"/>
                    <pic:cNvPicPr>
                      <a:picLocks noChangeAspect="1"/>
                    </pic:cNvPicPr>
                  </pic:nvPicPr>
                  <pic:blipFill>
                    <a:blip r:embed="rId5"/>
                    <a:stretch>
                      <a:fillRect/>
                    </a:stretch>
                  </pic:blipFill>
                  <pic:spPr>
                    <a:xfrm>
                      <a:off x="0" y="0"/>
                      <a:ext cx="2339340" cy="1139190"/>
                    </a:xfrm>
                    <a:prstGeom prst="rect">
                      <a:avLst/>
                    </a:prstGeom>
                    <a:noFill/>
                    <a:ln>
                      <a:noFill/>
                    </a:ln>
                  </pic:spPr>
                </pic:pic>
              </a:graphicData>
            </a:graphic>
          </wp:inline>
        </w:drawing>
      </w:r>
    </w:p>
    <w:p>
      <w:pPr>
        <w:numPr>
          <w:ilvl w:val="0"/>
          <w:numId w:val="0"/>
        </w:numPr>
        <w:spacing w:after="120"/>
        <w:jc w:val="center"/>
        <w:rPr>
          <w:rFonts w:hint="default" w:eastAsia="宋体"/>
          <w:lang w:val="en-US" w:eastAsia="zh-CN"/>
        </w:rPr>
      </w:pPr>
      <w:r>
        <w:rPr>
          <w:rFonts w:hint="eastAsia" w:eastAsia="宋体"/>
          <w:lang w:val="en-US" w:eastAsia="zh-CN"/>
        </w:rPr>
        <w:t>Fig.1 The structure of one CC list</w:t>
      </w:r>
    </w:p>
    <w:p>
      <w:pPr>
        <w:numPr>
          <w:ilvl w:val="0"/>
          <w:numId w:val="9"/>
        </w:numPr>
        <w:spacing w:after="120"/>
        <w:ind w:left="840" w:leftChars="0" w:hanging="420" w:firstLineChars="0"/>
      </w:pPr>
      <w:r>
        <w:t xml:space="preserve">For intra-band ICBM using common TCI configurations, requirements are defined for the case when SSB measurements for a cell with different PCI are only performed </w:t>
      </w:r>
      <w:r>
        <w:rPr>
          <w:rFonts w:hint="eastAsia"/>
        </w:rPr>
        <w:t>in</w:t>
      </w:r>
      <w:r>
        <w:t xml:space="preserve"> </w:t>
      </w:r>
      <w:r>
        <w:rPr>
          <w:rFonts w:hint="eastAsia"/>
        </w:rPr>
        <w:t>the</w:t>
      </w:r>
      <w:r>
        <w:t xml:space="preserve"> cell that has the same SSB frequency as the reference CC.</w:t>
      </w:r>
    </w:p>
    <w:p>
      <w:pPr>
        <w:numPr>
          <w:ilvl w:val="0"/>
          <w:numId w:val="0"/>
        </w:numPr>
        <w:spacing w:after="120"/>
        <w:rPr>
          <w:rFonts w:hint="default" w:eastAsia="宋体"/>
          <w:lang w:val="en-US" w:eastAsia="zh-CN"/>
        </w:rPr>
      </w:pPr>
      <w:r>
        <w:rPr>
          <w:rFonts w:hint="eastAsia" w:eastAsia="宋体"/>
          <w:lang w:val="en-US" w:eastAsia="zh-CN"/>
        </w:rPr>
        <w:t>Once the last sub-bullet was identified, then this sub-bullet is natural.</w:t>
      </w:r>
    </w:p>
    <w:p>
      <w:pPr>
        <w:numPr>
          <w:ilvl w:val="0"/>
          <w:numId w:val="10"/>
        </w:numPr>
        <w:spacing w:after="120"/>
        <w:ind w:left="420" w:leftChars="0" w:hanging="420" w:firstLineChars="0"/>
        <w:rPr>
          <w:rFonts w:hint="default"/>
          <w:lang w:val="en-US" w:eastAsia="zh-CN"/>
        </w:rPr>
      </w:pPr>
      <w:r>
        <w:t>R17 ICBM feature is applicable to FR1 HST and FR2 HST. If RAN4 identifies any issue in applying HST related enhancements to ICBM related RRM requirements, RAN4 solve them in the R17 maintenance phase.</w:t>
      </w:r>
      <w:r>
        <w:rPr>
          <w:rFonts w:hint="eastAsia" w:eastAsia="宋体"/>
          <w:lang w:val="en-US" w:eastAsia="zh-CN"/>
        </w:rPr>
        <w:t xml:space="preserve">  </w:t>
      </w:r>
    </w:p>
    <w:p>
      <w:pPr>
        <w:numPr>
          <w:ilvl w:val="0"/>
          <w:numId w:val="0"/>
        </w:numPr>
        <w:spacing w:after="120"/>
        <w:rPr>
          <w:rFonts w:hint="default"/>
          <w:lang w:val="en-US" w:eastAsia="zh-CN"/>
        </w:rPr>
      </w:pPr>
      <w:r>
        <w:rPr>
          <w:rFonts w:hint="eastAsia"/>
          <w:lang w:val="en-US" w:eastAsia="zh-CN"/>
        </w:rPr>
        <w:t>Consider that ICBM feature can really accelerate the L1 measurement for neighbour cell under HST scenario, DSP is a typical scenario for HST, so we agree with this sub-bullet.</w:t>
      </w:r>
    </w:p>
    <w:p>
      <w:pPr>
        <w:numPr>
          <w:ilvl w:val="0"/>
          <w:numId w:val="10"/>
        </w:numPr>
        <w:spacing w:after="120"/>
        <w:ind w:left="420" w:leftChars="0" w:hanging="420" w:firstLineChars="0"/>
        <w:rPr>
          <w:rFonts w:hint="default"/>
          <w:lang w:val="en-US" w:eastAsia="zh-CN"/>
        </w:rPr>
      </w:pPr>
      <w:r>
        <w:rPr>
          <w:rFonts w:hint="eastAsia"/>
        </w:rPr>
        <w:t>R17 ICBM feature is applicable to the scenarios when UE is configured with R17 enhanced gaps.</w:t>
      </w:r>
      <w:r>
        <w:t xml:space="preserve"> If RAN4 identifies any issue in applying R17 enhanced gaps to ICBM related RRM requirements, RAN4 solve them in the R17 maintenance phase.</w:t>
      </w:r>
    </w:p>
    <w:p>
      <w:pPr>
        <w:numPr>
          <w:ilvl w:val="0"/>
          <w:numId w:val="0"/>
        </w:numPr>
        <w:spacing w:after="120"/>
        <w:rPr>
          <w:rFonts w:hint="eastAsia"/>
          <w:lang w:val="en-US" w:eastAsia="zh-CN"/>
        </w:rPr>
      </w:pPr>
      <w:r>
        <w:rPr>
          <w:rFonts w:hint="eastAsia"/>
          <w:lang w:val="en-US" w:eastAsia="zh-CN"/>
        </w:rPr>
        <w:t xml:space="preserve">We are wondering why we need this sub-bullet. </w:t>
      </w:r>
    </w:p>
    <w:p>
      <w:pPr>
        <w:keepNext w:val="0"/>
        <w:keepLines w:val="0"/>
        <w:pageBreakBefore w:val="0"/>
        <w:widowControl/>
        <w:kinsoku/>
        <w:wordWrap/>
        <w:overflowPunct/>
        <w:topLinePunct w:val="0"/>
        <w:autoSpaceDE/>
        <w:autoSpaceDN/>
        <w:bidi w:val="0"/>
        <w:adjustRightInd/>
        <w:snapToGrid/>
        <w:spacing w:before="157" w:beforeLines="50" w:after="157" w:afterLines="50"/>
        <w:jc w:val="both"/>
        <w:textAlignment w:val="auto"/>
        <w:rPr>
          <w:rFonts w:hint="eastAsia" w:ascii="Times New Roman" w:hAnsi="Times New Roman" w:eastAsia="宋体" w:cs="Times New Roman"/>
          <w:b/>
          <w:bCs/>
          <w:color w:val="auto"/>
          <w:sz w:val="21"/>
          <w:szCs w:val="21"/>
          <w:highlight w:val="none"/>
          <w:lang w:val="en-US" w:eastAsia="zh-CN" w:bidi="ar-SA"/>
        </w:rPr>
      </w:pPr>
      <w:r>
        <w:rPr>
          <w:rFonts w:hint="eastAsia" w:eastAsia="宋体" w:cs="Times New Roman"/>
          <w:b/>
          <w:bCs/>
          <w:color w:val="auto"/>
          <w:sz w:val="21"/>
          <w:szCs w:val="21"/>
          <w:highlight w:val="none"/>
          <w:lang w:val="en-US" w:eastAsia="zh-CN" w:bidi="ar-SA"/>
        </w:rPr>
        <w:t>Proposal 3</w:t>
      </w:r>
      <w:r>
        <w:rPr>
          <w:rFonts w:hint="eastAsia" w:ascii="Times New Roman" w:hAnsi="Times New Roman" w:eastAsia="宋体" w:cs="Times New Roman"/>
          <w:b/>
          <w:bCs/>
          <w:color w:val="auto"/>
          <w:sz w:val="21"/>
          <w:szCs w:val="21"/>
          <w:highlight w:val="none"/>
          <w:lang w:val="en-US" w:eastAsia="zh-CN" w:bidi="ar-SA"/>
        </w:rPr>
        <w:t xml:space="preserve">: To sum up, for all sub-bullets in </w:t>
      </w:r>
      <w:r>
        <w:rPr>
          <w:rFonts w:hint="eastAsia" w:eastAsia="宋体" w:cs="Times New Roman"/>
          <w:b/>
          <w:bCs/>
          <w:color w:val="auto"/>
          <w:sz w:val="21"/>
          <w:szCs w:val="21"/>
          <w:highlight w:val="none"/>
          <w:lang w:val="en-US" w:eastAsia="zh-CN" w:bidi="ar-SA"/>
        </w:rPr>
        <w:t>Option 1</w:t>
      </w:r>
      <w:r>
        <w:rPr>
          <w:rFonts w:hint="eastAsia" w:ascii="Times New Roman" w:hAnsi="Times New Roman" w:eastAsia="宋体" w:cs="Times New Roman"/>
          <w:b/>
          <w:bCs/>
          <w:color w:val="auto"/>
          <w:sz w:val="21"/>
          <w:szCs w:val="21"/>
          <w:highlight w:val="none"/>
          <w:lang w:val="en-US" w:eastAsia="zh-CN" w:bidi="ar-SA"/>
        </w:rPr>
        <w:t xml:space="preserve">, </w:t>
      </w:r>
      <w:r>
        <w:rPr>
          <w:rFonts w:hint="eastAsia" w:eastAsia="宋体" w:cs="Times New Roman"/>
          <w:b/>
          <w:bCs/>
          <w:color w:val="auto"/>
          <w:sz w:val="21"/>
          <w:szCs w:val="21"/>
          <w:highlight w:val="none"/>
          <w:lang w:val="en-US" w:eastAsia="zh-CN" w:bidi="ar-SA"/>
        </w:rPr>
        <w:t>the following sub-bullets can be supported</w:t>
      </w:r>
      <w:r>
        <w:rPr>
          <w:rFonts w:hint="eastAsia" w:ascii="Times New Roman" w:hAnsi="Times New Roman" w:eastAsia="宋体" w:cs="Times New Roman"/>
          <w:b/>
          <w:bCs/>
          <w:color w:val="auto"/>
          <w:sz w:val="21"/>
          <w:szCs w:val="21"/>
          <w:highlight w:val="none"/>
          <w:lang w:val="en-US" w:eastAsia="zh-CN" w:bidi="ar-SA"/>
        </w:rPr>
        <w:t>:</w:t>
      </w:r>
    </w:p>
    <w:p>
      <w:pPr>
        <w:numPr>
          <w:ilvl w:val="0"/>
          <w:numId w:val="8"/>
        </w:numPr>
        <w:spacing w:after="120"/>
        <w:ind w:left="840" w:leftChars="0" w:hanging="420" w:firstLineChars="0"/>
        <w:rPr>
          <w:rFonts w:hint="default"/>
          <w:b/>
          <w:bCs/>
          <w:lang w:val="en-US" w:eastAsia="zh-CN"/>
        </w:rPr>
      </w:pPr>
      <w:r>
        <w:rPr>
          <w:b/>
          <w:bCs/>
        </w:rPr>
        <w:t>For intra-band ICBM using common TCI configurations, different reference CCs in the same CC list between the serving cell and a cell with different PCI is not supported in R17.</w:t>
      </w:r>
      <w:r>
        <w:rPr>
          <w:rFonts w:hint="eastAsia" w:eastAsia="宋体"/>
          <w:b/>
          <w:bCs/>
          <w:lang w:val="en-US" w:eastAsia="zh-CN"/>
        </w:rPr>
        <w:t xml:space="preserve"> </w:t>
      </w:r>
      <w:r>
        <w:rPr>
          <w:rFonts w:hint="eastAsia"/>
          <w:b/>
          <w:bCs/>
          <w:lang w:val="en-US" w:eastAsia="zh-CN"/>
        </w:rPr>
        <w:t xml:space="preserve">Same reference CC is applicable for serving cell and a cell with different PCI in a CC list. The serving cell and cell with different PCI in the reference CC are referenced by other serving cells and cells with different PCI respectively in the CC list. </w:t>
      </w:r>
    </w:p>
    <w:p>
      <w:pPr>
        <w:numPr>
          <w:ilvl w:val="0"/>
          <w:numId w:val="9"/>
        </w:numPr>
        <w:spacing w:after="120"/>
        <w:ind w:left="840" w:leftChars="0" w:hanging="420" w:firstLineChars="0"/>
        <w:rPr>
          <w:rFonts w:hint="eastAsia" w:ascii="Times New Roman" w:hAnsi="Times New Roman" w:eastAsia="宋体" w:cs="Times New Roman"/>
          <w:b/>
          <w:bCs/>
          <w:color w:val="auto"/>
          <w:sz w:val="21"/>
          <w:szCs w:val="21"/>
          <w:highlight w:val="none"/>
          <w:lang w:val="en-US" w:eastAsia="zh-CN" w:bidi="ar-SA"/>
        </w:rPr>
      </w:pPr>
      <w:r>
        <w:rPr>
          <w:b/>
          <w:bCs/>
        </w:rPr>
        <w:t xml:space="preserve">For intra-band ICBM using common TCI configurations, requirements are defined for the case when SSB measurements for a cell with different PCI are only performed </w:t>
      </w:r>
      <w:r>
        <w:rPr>
          <w:rFonts w:hint="eastAsia"/>
          <w:b/>
          <w:bCs/>
        </w:rPr>
        <w:t>in</w:t>
      </w:r>
      <w:r>
        <w:rPr>
          <w:b/>
          <w:bCs/>
        </w:rPr>
        <w:t xml:space="preserve"> </w:t>
      </w:r>
      <w:r>
        <w:rPr>
          <w:rFonts w:hint="eastAsia"/>
          <w:b/>
          <w:bCs/>
        </w:rPr>
        <w:t>the</w:t>
      </w:r>
      <w:r>
        <w:rPr>
          <w:b/>
          <w:bCs/>
        </w:rPr>
        <w:t xml:space="preserve"> cell that has the same SSB frequency as the reference CC.</w:t>
      </w:r>
    </w:p>
    <w:p>
      <w:pPr>
        <w:numPr>
          <w:ilvl w:val="0"/>
          <w:numId w:val="9"/>
        </w:numPr>
        <w:spacing w:after="120"/>
        <w:ind w:left="840" w:leftChars="0" w:hanging="420" w:firstLineChars="0"/>
        <w:rPr>
          <w:rFonts w:hint="eastAsia" w:ascii="Times New Roman" w:hAnsi="Times New Roman" w:eastAsia="宋体" w:cs="Times New Roman"/>
          <w:b/>
          <w:bCs/>
          <w:color w:val="auto"/>
          <w:sz w:val="21"/>
          <w:szCs w:val="21"/>
          <w:highlight w:val="none"/>
          <w:lang w:val="en-US" w:eastAsia="zh-CN" w:bidi="ar-SA"/>
        </w:rPr>
      </w:pPr>
      <w:r>
        <w:rPr>
          <w:b/>
          <w:bCs/>
        </w:rPr>
        <w:t>R17 ICBM feature is applicable to FR1 HST and FR2 HST. If RAN4 identifies any issue in applying HST related enhancements to ICBM related RRM requirements, RAN4 solve them in the R17 maintenance phase.</w:t>
      </w:r>
      <w:r>
        <w:rPr>
          <w:rFonts w:hint="eastAsia" w:eastAsia="宋体"/>
          <w:b/>
          <w:bCs/>
          <w:lang w:val="en-US" w:eastAsia="zh-CN"/>
        </w:rPr>
        <w:t xml:space="preserve"> </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pPr>
        <w:pStyle w:val="11"/>
        <w:tabs>
          <w:tab w:val="left" w:pos="226"/>
          <w:tab w:val="left" w:pos="284"/>
          <w:tab w:val="left" w:pos="5103"/>
        </w:tabs>
        <w:snapToGrid w:val="0"/>
        <w:rPr>
          <w:rFonts w:eastAsia="宋体"/>
          <w:bCs/>
          <w:color w:val="auto"/>
          <w:sz w:val="21"/>
          <w:szCs w:val="21"/>
          <w:lang w:val="en-GB" w:eastAsia="zh-CN"/>
        </w:rPr>
      </w:pPr>
      <w:r>
        <w:rPr>
          <w:rFonts w:eastAsia="宋体"/>
          <w:bCs/>
          <w:color w:val="auto"/>
          <w:sz w:val="21"/>
          <w:szCs w:val="21"/>
          <w:lang w:val="en-GB" w:eastAsia="zh-CN"/>
        </w:rPr>
        <w:t xml:space="preserve">In this </w:t>
      </w:r>
      <w:r>
        <w:rPr>
          <w:rFonts w:hint="eastAsia" w:eastAsia="宋体"/>
          <w:bCs/>
          <w:color w:val="auto"/>
          <w:sz w:val="21"/>
          <w:szCs w:val="21"/>
          <w:lang w:val="en-US" w:eastAsia="zh-CN"/>
        </w:rPr>
        <w:t>contribution</w:t>
      </w:r>
      <w:r>
        <w:rPr>
          <w:rFonts w:eastAsia="宋体"/>
          <w:bCs/>
          <w:color w:val="auto"/>
          <w:sz w:val="21"/>
          <w:szCs w:val="21"/>
          <w:lang w:val="en-GB" w:eastAsia="zh-CN"/>
        </w:rPr>
        <w:t>, we have the following proposals</w:t>
      </w:r>
      <w:r>
        <w:rPr>
          <w:rFonts w:hint="eastAsia" w:eastAsia="宋体"/>
          <w:bCs/>
          <w:color w:val="auto"/>
          <w:sz w:val="21"/>
          <w:szCs w:val="21"/>
          <w:lang w:val="en-US" w:eastAsia="zh-CN"/>
        </w:rPr>
        <w:t xml:space="preserve"> </w:t>
      </w:r>
      <w:r>
        <w:rPr>
          <w:rFonts w:eastAsia="宋体"/>
          <w:bCs/>
          <w:color w:val="auto"/>
          <w:sz w:val="21"/>
          <w:szCs w:val="21"/>
          <w:lang w:val="en-GB" w:eastAsia="zh-CN"/>
        </w:rPr>
        <w:t xml:space="preserve">for </w:t>
      </w:r>
      <w:r>
        <w:rPr>
          <w:rFonts w:hint="eastAsia" w:eastAsia="宋体"/>
          <w:bCs/>
          <w:color w:val="auto"/>
          <w:sz w:val="21"/>
          <w:szCs w:val="21"/>
          <w:lang w:val="en-US" w:eastAsia="zh-CN"/>
        </w:rPr>
        <w:t>inter-cell BM</w:t>
      </w:r>
      <w:r>
        <w:rPr>
          <w:rFonts w:eastAsia="宋体"/>
          <w:bCs/>
          <w:color w:val="auto"/>
          <w:sz w:val="21"/>
          <w:szCs w:val="21"/>
          <w:lang w:val="en-GB" w:eastAsia="zh-CN"/>
        </w:rPr>
        <w:t>:</w:t>
      </w:r>
    </w:p>
    <w:p>
      <w:pPr>
        <w:keepNext w:val="0"/>
        <w:keepLines w:val="0"/>
        <w:pageBreakBefore w:val="0"/>
        <w:widowControl/>
        <w:kinsoku/>
        <w:wordWrap/>
        <w:overflowPunct/>
        <w:topLinePunct w:val="0"/>
        <w:autoSpaceDE/>
        <w:autoSpaceDN/>
        <w:bidi w:val="0"/>
        <w:adjustRightInd/>
        <w:snapToGrid/>
        <w:spacing w:before="157" w:beforeLines="50" w:after="157" w:afterLines="50"/>
        <w:jc w:val="both"/>
        <w:textAlignment w:val="auto"/>
        <w:rPr>
          <w:rFonts w:hint="default" w:eastAsia="宋体" w:cs="Times New Roman"/>
          <w:b/>
          <w:bCs/>
          <w:color w:val="auto"/>
          <w:sz w:val="21"/>
          <w:szCs w:val="21"/>
          <w:highlight w:val="none"/>
          <w:lang w:val="en-US" w:eastAsia="zh-CN" w:bidi="ar-SA"/>
        </w:rPr>
      </w:pPr>
      <w:r>
        <w:rPr>
          <w:rFonts w:hint="eastAsia" w:eastAsia="宋体" w:cs="Times New Roman"/>
          <w:b/>
          <w:bCs/>
          <w:color w:val="auto"/>
          <w:sz w:val="21"/>
          <w:szCs w:val="21"/>
          <w:highlight w:val="none"/>
          <w:lang w:val="en-US" w:eastAsia="zh-CN" w:bidi="ar-SA"/>
        </w:rPr>
        <w:t>Observation 1</w:t>
      </w:r>
      <w:r>
        <w:rPr>
          <w:rFonts w:hint="eastAsia" w:ascii="Times New Roman" w:hAnsi="Times New Roman" w:eastAsia="宋体" w:cs="Times New Roman"/>
          <w:b/>
          <w:bCs/>
          <w:color w:val="auto"/>
          <w:sz w:val="21"/>
          <w:szCs w:val="21"/>
          <w:highlight w:val="none"/>
          <w:lang w:val="en-US" w:eastAsia="zh-CN" w:bidi="ar-SA"/>
        </w:rPr>
        <w:t xml:space="preserve">: </w:t>
      </w:r>
      <w:r>
        <w:rPr>
          <w:rFonts w:hint="eastAsia" w:eastAsia="宋体" w:cs="Times New Roman"/>
          <w:b/>
          <w:bCs/>
          <w:color w:val="auto"/>
          <w:sz w:val="21"/>
          <w:szCs w:val="21"/>
          <w:highlight w:val="none"/>
          <w:lang w:val="en-US" w:eastAsia="zh-CN" w:bidi="ar-SA"/>
        </w:rPr>
        <w:t>According to legacy requirement, both RRM measurement and L1-RSRP measurement are prioritized than DL/UL transmission. The difference between scheduling restriction since of RRM measurement and L1-RSRP measurement are whether adjacent symbol before and after SSB should be restricted.</w:t>
      </w:r>
    </w:p>
    <w:p>
      <w:pPr>
        <w:keepNext w:val="0"/>
        <w:keepLines w:val="0"/>
        <w:pageBreakBefore w:val="0"/>
        <w:widowControl/>
        <w:kinsoku/>
        <w:wordWrap/>
        <w:overflowPunct/>
        <w:topLinePunct w:val="0"/>
        <w:autoSpaceDE/>
        <w:autoSpaceDN/>
        <w:bidi w:val="0"/>
        <w:adjustRightInd/>
        <w:snapToGrid/>
        <w:spacing w:before="157" w:beforeLines="50" w:after="157" w:afterLines="50"/>
        <w:jc w:val="both"/>
        <w:textAlignment w:val="auto"/>
        <w:rPr>
          <w:rFonts w:hint="eastAsia" w:eastAsia="宋体" w:cs="Times New Roman"/>
          <w:b/>
          <w:bCs/>
          <w:color w:val="auto"/>
          <w:sz w:val="21"/>
          <w:szCs w:val="21"/>
          <w:highlight w:val="none"/>
          <w:lang w:val="en-US" w:eastAsia="zh-CN" w:bidi="ar-SA"/>
        </w:rPr>
      </w:pPr>
      <w:r>
        <w:rPr>
          <w:rFonts w:hint="eastAsia" w:eastAsia="宋体" w:cs="Times New Roman"/>
          <w:b/>
          <w:bCs/>
          <w:color w:val="auto"/>
          <w:sz w:val="21"/>
          <w:szCs w:val="21"/>
          <w:highlight w:val="none"/>
          <w:lang w:val="en-US" w:eastAsia="zh-CN" w:bidi="ar-SA"/>
        </w:rPr>
        <w:t>Proposal 1</w:t>
      </w:r>
      <w:r>
        <w:rPr>
          <w:rFonts w:hint="eastAsia" w:ascii="Times New Roman" w:hAnsi="Times New Roman" w:eastAsia="宋体" w:cs="Times New Roman"/>
          <w:b/>
          <w:bCs/>
          <w:color w:val="auto"/>
          <w:sz w:val="21"/>
          <w:szCs w:val="21"/>
          <w:highlight w:val="none"/>
          <w:lang w:val="en-US" w:eastAsia="zh-CN" w:bidi="ar-SA"/>
        </w:rPr>
        <w:t xml:space="preserve">: </w:t>
      </w:r>
      <w:r>
        <w:rPr>
          <w:rFonts w:hint="eastAsia" w:eastAsia="宋体" w:cs="Times New Roman"/>
          <w:b/>
          <w:bCs/>
          <w:color w:val="auto"/>
          <w:sz w:val="21"/>
          <w:szCs w:val="21"/>
          <w:highlight w:val="none"/>
          <w:lang w:val="en-US" w:eastAsia="zh-CN" w:bidi="ar-SA"/>
        </w:rPr>
        <w:t>For the scheduling restriction due to L1-RSRP measurement on cell with different PCI, reusing the scheduling restriction due to L1-RSRP measurement on serving cell is fine. Whether the adjacent symbol before and after SSB should be restricted, which should be aligned with the specification for L1-RSRP measurement on serving cell.</w:t>
      </w:r>
    </w:p>
    <w:p>
      <w:pPr>
        <w:keepNext w:val="0"/>
        <w:keepLines w:val="0"/>
        <w:pageBreakBefore w:val="0"/>
        <w:widowControl/>
        <w:kinsoku/>
        <w:wordWrap/>
        <w:overflowPunct/>
        <w:topLinePunct w:val="0"/>
        <w:autoSpaceDE/>
        <w:autoSpaceDN/>
        <w:bidi w:val="0"/>
        <w:adjustRightInd/>
        <w:snapToGrid/>
        <w:spacing w:before="157" w:beforeLines="50" w:after="157" w:afterLines="50"/>
        <w:jc w:val="both"/>
        <w:textAlignment w:val="auto"/>
        <w:rPr>
          <w:rFonts w:hint="default"/>
          <w:lang w:val="en-US" w:eastAsia="zh-CN"/>
        </w:rPr>
      </w:pPr>
      <w:r>
        <w:rPr>
          <w:rFonts w:hint="eastAsia" w:eastAsia="宋体" w:cs="Times New Roman"/>
          <w:b/>
          <w:bCs/>
          <w:color w:val="auto"/>
          <w:sz w:val="21"/>
          <w:szCs w:val="21"/>
          <w:highlight w:val="none"/>
          <w:lang w:val="en-US" w:eastAsia="zh-CN" w:bidi="ar-SA"/>
        </w:rPr>
        <w:t>Proposal 2</w:t>
      </w:r>
      <w:r>
        <w:rPr>
          <w:rFonts w:hint="eastAsia" w:ascii="Times New Roman" w:hAnsi="Times New Roman" w:eastAsia="宋体" w:cs="Times New Roman"/>
          <w:b/>
          <w:bCs/>
          <w:color w:val="auto"/>
          <w:sz w:val="21"/>
          <w:szCs w:val="21"/>
          <w:highlight w:val="none"/>
          <w:lang w:val="en-US" w:eastAsia="zh-CN" w:bidi="ar-SA"/>
        </w:rPr>
        <w:t xml:space="preserve">: </w:t>
      </w:r>
      <w:r>
        <w:rPr>
          <w:rFonts w:hint="eastAsia" w:eastAsia="宋体" w:cs="Times New Roman"/>
          <w:b/>
          <w:bCs/>
          <w:color w:val="auto"/>
          <w:sz w:val="21"/>
          <w:szCs w:val="21"/>
          <w:highlight w:val="none"/>
          <w:lang w:val="en-US" w:eastAsia="zh-CN" w:bidi="ar-SA"/>
        </w:rPr>
        <w:t xml:space="preserve">Given that the cell with different PCI also belongs to serving cell, which is a TRP of serving cell, so not need to introduce any additional scheduling restriction on the cell with different PCI. Directly reusing the scheduling restriction specified on serving cell since of L1-SINR measurement, BFD, CBD, RLM on serving cell is enough. </w:t>
      </w:r>
    </w:p>
    <w:p>
      <w:pPr>
        <w:keepNext w:val="0"/>
        <w:keepLines w:val="0"/>
        <w:pageBreakBefore w:val="0"/>
        <w:widowControl/>
        <w:kinsoku/>
        <w:wordWrap/>
        <w:overflowPunct/>
        <w:topLinePunct w:val="0"/>
        <w:autoSpaceDE/>
        <w:autoSpaceDN/>
        <w:bidi w:val="0"/>
        <w:adjustRightInd/>
        <w:snapToGrid/>
        <w:spacing w:before="157" w:beforeLines="50" w:after="157" w:afterLines="50"/>
        <w:jc w:val="both"/>
        <w:textAlignment w:val="auto"/>
        <w:rPr>
          <w:rFonts w:hint="eastAsia" w:ascii="Times New Roman" w:hAnsi="Times New Roman" w:eastAsia="宋体" w:cs="Times New Roman"/>
          <w:b/>
          <w:bCs/>
          <w:color w:val="auto"/>
          <w:sz w:val="21"/>
          <w:szCs w:val="21"/>
          <w:highlight w:val="none"/>
          <w:lang w:val="en-US" w:eastAsia="zh-CN" w:bidi="ar-SA"/>
        </w:rPr>
      </w:pPr>
      <w:r>
        <w:rPr>
          <w:rFonts w:hint="eastAsia" w:eastAsia="宋体" w:cs="Times New Roman"/>
          <w:b/>
          <w:bCs/>
          <w:color w:val="auto"/>
          <w:sz w:val="21"/>
          <w:szCs w:val="21"/>
          <w:highlight w:val="none"/>
          <w:lang w:val="en-US" w:eastAsia="zh-CN" w:bidi="ar-SA"/>
        </w:rPr>
        <w:t>Proposal 3</w:t>
      </w:r>
      <w:r>
        <w:rPr>
          <w:rFonts w:hint="eastAsia" w:ascii="Times New Roman" w:hAnsi="Times New Roman" w:eastAsia="宋体" w:cs="Times New Roman"/>
          <w:b/>
          <w:bCs/>
          <w:color w:val="auto"/>
          <w:sz w:val="21"/>
          <w:szCs w:val="21"/>
          <w:highlight w:val="none"/>
          <w:lang w:val="en-US" w:eastAsia="zh-CN" w:bidi="ar-SA"/>
        </w:rPr>
        <w:t xml:space="preserve">: To sum up, for all sub-bullets in </w:t>
      </w:r>
      <w:r>
        <w:rPr>
          <w:rFonts w:hint="eastAsia" w:eastAsia="宋体" w:cs="Times New Roman"/>
          <w:b/>
          <w:bCs/>
          <w:color w:val="auto"/>
          <w:sz w:val="21"/>
          <w:szCs w:val="21"/>
          <w:highlight w:val="none"/>
          <w:lang w:val="en-US" w:eastAsia="zh-CN" w:bidi="ar-SA"/>
        </w:rPr>
        <w:t>Option 1</w:t>
      </w:r>
      <w:r>
        <w:rPr>
          <w:rFonts w:hint="eastAsia" w:ascii="Times New Roman" w:hAnsi="Times New Roman" w:eastAsia="宋体" w:cs="Times New Roman"/>
          <w:b/>
          <w:bCs/>
          <w:color w:val="auto"/>
          <w:sz w:val="21"/>
          <w:szCs w:val="21"/>
          <w:highlight w:val="none"/>
          <w:lang w:val="en-US" w:eastAsia="zh-CN" w:bidi="ar-SA"/>
        </w:rPr>
        <w:t xml:space="preserve">, </w:t>
      </w:r>
      <w:r>
        <w:rPr>
          <w:rFonts w:hint="eastAsia" w:eastAsia="宋体" w:cs="Times New Roman"/>
          <w:b/>
          <w:bCs/>
          <w:color w:val="auto"/>
          <w:sz w:val="21"/>
          <w:szCs w:val="21"/>
          <w:highlight w:val="none"/>
          <w:lang w:val="en-US" w:eastAsia="zh-CN" w:bidi="ar-SA"/>
        </w:rPr>
        <w:t>the following sub-bullets can be supported</w:t>
      </w:r>
      <w:r>
        <w:rPr>
          <w:rFonts w:hint="eastAsia" w:ascii="Times New Roman" w:hAnsi="Times New Roman" w:eastAsia="宋体" w:cs="Times New Roman"/>
          <w:b/>
          <w:bCs/>
          <w:color w:val="auto"/>
          <w:sz w:val="21"/>
          <w:szCs w:val="21"/>
          <w:highlight w:val="none"/>
          <w:lang w:val="en-US" w:eastAsia="zh-CN" w:bidi="ar-SA"/>
        </w:rPr>
        <w:t>:</w:t>
      </w:r>
    </w:p>
    <w:p>
      <w:pPr>
        <w:numPr>
          <w:ilvl w:val="0"/>
          <w:numId w:val="8"/>
        </w:numPr>
        <w:spacing w:after="120"/>
        <w:ind w:left="840" w:leftChars="0" w:hanging="420" w:firstLineChars="0"/>
        <w:rPr>
          <w:rFonts w:hint="default"/>
          <w:b/>
          <w:bCs/>
          <w:lang w:val="en-US" w:eastAsia="zh-CN"/>
        </w:rPr>
      </w:pPr>
      <w:r>
        <w:rPr>
          <w:b/>
          <w:bCs/>
        </w:rPr>
        <w:t>For intra-band ICBM using common TCI configurations, different reference CCs in the same CC list between the serving cell and a cell with different PCI is not supported in R17.</w:t>
      </w:r>
      <w:r>
        <w:rPr>
          <w:rFonts w:hint="eastAsia" w:eastAsia="宋体"/>
          <w:b/>
          <w:bCs/>
          <w:lang w:val="en-US" w:eastAsia="zh-CN"/>
        </w:rPr>
        <w:t xml:space="preserve"> </w:t>
      </w:r>
      <w:r>
        <w:rPr>
          <w:rFonts w:hint="eastAsia"/>
          <w:b/>
          <w:bCs/>
          <w:lang w:val="en-US" w:eastAsia="zh-CN"/>
        </w:rPr>
        <w:t xml:space="preserve">Same reference CC is applicable for serving cell and a cell with different PCI in a CC list. The serving cell and cell with different PCI in the reference CC are referenced by other serving cells and cells with different PCI respectively in the CC list. </w:t>
      </w:r>
    </w:p>
    <w:p>
      <w:pPr>
        <w:numPr>
          <w:ilvl w:val="0"/>
          <w:numId w:val="9"/>
        </w:numPr>
        <w:spacing w:after="120"/>
        <w:ind w:left="840" w:leftChars="0" w:hanging="420" w:firstLineChars="0"/>
        <w:rPr>
          <w:rFonts w:hint="eastAsia" w:ascii="Times New Roman" w:hAnsi="Times New Roman" w:eastAsia="宋体" w:cs="Times New Roman"/>
          <w:b/>
          <w:bCs/>
          <w:color w:val="auto"/>
          <w:sz w:val="21"/>
          <w:szCs w:val="21"/>
          <w:highlight w:val="none"/>
          <w:lang w:val="en-US" w:eastAsia="zh-CN" w:bidi="ar-SA"/>
        </w:rPr>
      </w:pPr>
      <w:r>
        <w:rPr>
          <w:b/>
          <w:bCs/>
        </w:rPr>
        <w:t xml:space="preserve">For intra-band ICBM using common TCI configurations, requirements are defined for the case when SSB measurements for a cell with different PCI are only performed </w:t>
      </w:r>
      <w:r>
        <w:rPr>
          <w:rFonts w:hint="eastAsia"/>
          <w:b/>
          <w:bCs/>
        </w:rPr>
        <w:t>in</w:t>
      </w:r>
      <w:r>
        <w:rPr>
          <w:b/>
          <w:bCs/>
        </w:rPr>
        <w:t xml:space="preserve"> </w:t>
      </w:r>
      <w:r>
        <w:rPr>
          <w:rFonts w:hint="eastAsia"/>
          <w:b/>
          <w:bCs/>
        </w:rPr>
        <w:t>the</w:t>
      </w:r>
      <w:r>
        <w:rPr>
          <w:b/>
          <w:bCs/>
        </w:rPr>
        <w:t xml:space="preserve"> cell that has the same SSB frequency as the reference CC.</w:t>
      </w:r>
    </w:p>
    <w:p>
      <w:pPr>
        <w:numPr>
          <w:ilvl w:val="0"/>
          <w:numId w:val="9"/>
        </w:numPr>
        <w:spacing w:after="120"/>
        <w:ind w:left="840" w:leftChars="0" w:hanging="420" w:firstLineChars="0"/>
        <w:rPr>
          <w:rFonts w:hint="eastAsia" w:eastAsia="宋体" w:cs="Times New Roman"/>
          <w:b/>
          <w:bCs/>
          <w:color w:val="auto"/>
          <w:sz w:val="21"/>
          <w:szCs w:val="21"/>
          <w:highlight w:val="none"/>
          <w:lang w:val="en-US" w:eastAsia="zh-CN" w:bidi="ar-SA"/>
        </w:rPr>
      </w:pPr>
      <w:r>
        <w:rPr>
          <w:b/>
          <w:bCs/>
        </w:rPr>
        <w:t>R17 ICBM feature is applicable to FR1 HST and FR2 HST. If RAN4 identifies any issue in applying HST related enhancements to ICBM related RRM requirements, RAN4 solve them in the R17 maintenance phase.</w:t>
      </w:r>
      <w:r>
        <w:rPr>
          <w:rFonts w:hint="eastAsia" w:eastAsia="宋体"/>
          <w:b/>
          <w:bCs/>
          <w:lang w:val="en-US" w:eastAsia="zh-CN"/>
        </w:rPr>
        <w:t xml:space="preserve"> </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pPr>
        <w:pStyle w:val="6"/>
        <w:rPr>
          <w:rFonts w:hint="default" w:eastAsia="宋体"/>
          <w:color w:val="auto"/>
          <w:highlight w:val="none"/>
          <w:lang w:val="en-US" w:eastAsia="zh-CN"/>
        </w:rPr>
      </w:pPr>
      <w:r>
        <w:rPr>
          <w:rFonts w:hint="eastAsia"/>
          <w:color w:val="auto"/>
          <w:highlight w:val="none"/>
          <w:lang w:val="en-US" w:eastAsia="zh-CN"/>
        </w:rPr>
        <w:t xml:space="preserve">R4-2214482, </w:t>
      </w:r>
      <w:r>
        <w:rPr>
          <w:rFonts w:hint="default"/>
          <w:color w:val="auto"/>
          <w:highlight w:val="none"/>
          <w:lang w:val="en-US" w:eastAsia="zh-CN"/>
        </w:rPr>
        <w:t>“</w:t>
      </w:r>
      <w:r>
        <w:rPr>
          <w:rFonts w:hint="eastAsia"/>
          <w:color w:val="auto"/>
          <w:highlight w:val="none"/>
          <w:lang w:val="en-US" w:eastAsia="zh-CN"/>
        </w:rPr>
        <w:t>WF on FeMIMO RRM requirements for inter-cell beam management and TRP-specific link recovery</w:t>
      </w:r>
      <w:r>
        <w:rPr>
          <w:rFonts w:hint="default"/>
          <w:color w:val="auto"/>
          <w:highlight w:val="none"/>
          <w:lang w:val="en-US" w:eastAsia="zh-CN"/>
        </w:rPr>
        <w:t>”</w:t>
      </w:r>
      <w:r>
        <w:rPr>
          <w:rFonts w:hint="eastAsia"/>
          <w:color w:val="auto"/>
          <w:highlight w:val="none"/>
          <w:lang w:val="en-US" w:eastAsia="zh-CN"/>
        </w:rPr>
        <w:t xml:space="preserve">, </w:t>
      </w:r>
      <w:bookmarkStart w:id="2" w:name="OLE_LINK25"/>
      <w:r>
        <w:rPr>
          <w:rFonts w:hint="eastAsia"/>
          <w:color w:val="auto"/>
          <w:highlight w:val="none"/>
          <w:lang w:val="en-US" w:eastAsia="zh-CN"/>
        </w:rPr>
        <w:t>Huawei, HiSilicon</w:t>
      </w:r>
      <w:bookmarkEnd w:id="2"/>
      <w:r>
        <w:rPr>
          <w:rFonts w:hint="eastAsia"/>
          <w:color w:val="auto"/>
          <w:highlight w:val="none"/>
          <w:lang w:val="en-US" w:eastAsia="zh-CN"/>
        </w:rPr>
        <w:t xml:space="preserve">.   </w:t>
      </w:r>
    </w:p>
    <w:p>
      <w:pPr>
        <w:pStyle w:val="6"/>
        <w:numPr>
          <w:ilvl w:val="0"/>
          <w:numId w:val="0"/>
        </w:numPr>
        <w:ind w:leftChars="0"/>
        <w:rPr>
          <w:rFonts w:hint="default" w:eastAsia="宋体"/>
          <w:color w:val="auto"/>
          <w:lang w:val="en-US" w:eastAsia="zh-CN"/>
        </w:rPr>
      </w:pP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2C2372B"/>
    <w:multiLevelType w:val="singleLevel"/>
    <w:tmpl w:val="82C2372B"/>
    <w:lvl w:ilvl="0" w:tentative="0">
      <w:start w:val="1"/>
      <w:numFmt w:val="bullet"/>
      <w:lvlText w:val=""/>
      <w:lvlJc w:val="left"/>
      <w:pPr>
        <w:tabs>
          <w:tab w:val="left" w:pos="420"/>
        </w:tabs>
        <w:ind w:left="840" w:hanging="420"/>
      </w:pPr>
      <w:rPr>
        <w:rFonts w:hint="default" w:ascii="Wingdings" w:hAnsi="Wingdings"/>
      </w:rPr>
    </w:lvl>
  </w:abstractNum>
  <w:abstractNum w:abstractNumId="1">
    <w:nsid w:val="04BB42E3"/>
    <w:multiLevelType w:val="singleLevel"/>
    <w:tmpl w:val="04BB42E3"/>
    <w:lvl w:ilvl="0" w:tentative="0">
      <w:start w:val="1"/>
      <w:numFmt w:val="bullet"/>
      <w:lvlText w:val=""/>
      <w:lvlJc w:val="left"/>
      <w:pPr>
        <w:ind w:left="420" w:hanging="420"/>
      </w:pPr>
      <w:rPr>
        <w:rFonts w:hint="default" w:ascii="Wingdings" w:hAnsi="Wingdings"/>
      </w:rPr>
    </w:lvl>
  </w:abstractNum>
  <w:abstractNum w:abstractNumId="2">
    <w:nsid w:val="0C0F246D"/>
    <w:multiLevelType w:val="singleLevel"/>
    <w:tmpl w:val="0C0F246D"/>
    <w:lvl w:ilvl="0" w:tentative="0">
      <w:start w:val="1"/>
      <w:numFmt w:val="bullet"/>
      <w:lvlText w:val=""/>
      <w:lvlJc w:val="left"/>
      <w:pPr>
        <w:tabs>
          <w:tab w:val="left" w:pos="420"/>
        </w:tabs>
        <w:ind w:left="840" w:hanging="420"/>
      </w:pPr>
      <w:rPr>
        <w:rFonts w:hint="default" w:ascii="Wingdings" w:hAnsi="Wingdings"/>
      </w:rPr>
    </w:lvl>
  </w:abstractNum>
  <w:abstractNum w:abstractNumId="3">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4">
    <w:nsid w:val="2CA08882"/>
    <w:multiLevelType w:val="singleLevel"/>
    <w:tmpl w:val="2CA08882"/>
    <w:lvl w:ilvl="0" w:tentative="0">
      <w:start w:val="1"/>
      <w:numFmt w:val="bullet"/>
      <w:lvlText w:val=""/>
      <w:lvlJc w:val="left"/>
      <w:pPr>
        <w:ind w:left="420" w:hanging="420"/>
      </w:pPr>
      <w:rPr>
        <w:rFonts w:hint="default" w:ascii="Wingdings" w:hAnsi="Wingdings"/>
      </w:rPr>
    </w:lvl>
  </w:abstractNum>
  <w:abstractNum w:abstractNumId="5">
    <w:nsid w:val="2E38FF1A"/>
    <w:multiLevelType w:val="singleLevel"/>
    <w:tmpl w:val="2E38FF1A"/>
    <w:lvl w:ilvl="0" w:tentative="0">
      <w:start w:val="1"/>
      <w:numFmt w:val="bullet"/>
      <w:lvlText w:val=""/>
      <w:lvlJc w:val="left"/>
      <w:pPr>
        <w:tabs>
          <w:tab w:val="left" w:pos="420"/>
        </w:tabs>
        <w:ind w:left="840" w:hanging="420"/>
      </w:pPr>
      <w:rPr>
        <w:rFonts w:hint="default" w:ascii="Wingdings" w:hAnsi="Wingdings"/>
      </w:rPr>
    </w:lvl>
  </w:abstractNum>
  <w:abstractNum w:abstractNumId="6">
    <w:nsid w:val="358330E3"/>
    <w:multiLevelType w:val="multilevel"/>
    <w:tmpl w:val="358330E3"/>
    <w:lvl w:ilvl="0" w:tentative="0">
      <w:start w:val="1"/>
      <w:numFmt w:val="bullet"/>
      <w:lvlText w:val=""/>
      <w:lvlJc w:val="left"/>
      <w:pPr>
        <w:ind w:left="360" w:hanging="360"/>
      </w:pPr>
      <w:rPr>
        <w:rFonts w:hint="default" w:ascii="Symbol" w:hAnsi="Symbol"/>
      </w:rPr>
    </w:lvl>
    <w:lvl w:ilvl="1" w:tentative="0">
      <w:start w:val="1"/>
      <w:numFmt w:val="bullet"/>
      <w:lvlText w:val=""/>
      <w:lvlJc w:val="left"/>
      <w:pPr>
        <w:ind w:left="1080" w:hanging="360"/>
      </w:pPr>
      <w:rPr>
        <w:rFonts w:hint="default" w:ascii="Symbol" w:hAnsi="Symbol"/>
      </w:rPr>
    </w:lvl>
    <w:lvl w:ilvl="2" w:tentative="0">
      <w:start w:val="1"/>
      <w:numFmt w:val="lowerRoman"/>
      <w:lvlText w:val="%3."/>
      <w:lvlJc w:val="right"/>
      <w:pPr>
        <w:ind w:left="1800" w:hanging="180"/>
      </w:pPr>
    </w:lvl>
    <w:lvl w:ilvl="3" w:tentative="0">
      <w:start w:val="1"/>
      <w:numFmt w:val="decimal"/>
      <w:lvlText w:val="%4."/>
      <w:lvlJc w:val="left"/>
      <w:pPr>
        <w:ind w:left="2520" w:hanging="360"/>
      </w:pPr>
      <w:rPr>
        <w:rFonts w:hint="default"/>
      </w:r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7">
    <w:nsid w:val="4D6E3167"/>
    <w:multiLevelType w:val="multilevel"/>
    <w:tmpl w:val="4D6E3167"/>
    <w:lvl w:ilvl="0" w:tentative="0">
      <w:start w:val="1"/>
      <w:numFmt w:val="decimal"/>
      <w:pStyle w:val="42"/>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8">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9">
    <w:nsid w:val="6B5B4F67"/>
    <w:multiLevelType w:val="multilevel"/>
    <w:tmpl w:val="6B5B4F67"/>
    <w:lvl w:ilvl="0" w:tentative="0">
      <w:start w:val="1"/>
      <w:numFmt w:val="decimal"/>
      <w:pStyle w:val="6"/>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9"/>
  </w:num>
  <w:num w:numId="2">
    <w:abstractNumId w:val="7"/>
  </w:num>
  <w:num w:numId="3">
    <w:abstractNumId w:val="3"/>
  </w:num>
  <w:num w:numId="4">
    <w:abstractNumId w:val="6"/>
  </w:num>
  <w:num w:numId="5">
    <w:abstractNumId w:val="2"/>
  </w:num>
  <w:num w:numId="6">
    <w:abstractNumId w:val="8"/>
  </w:num>
  <w:num w:numId="7">
    <w:abstractNumId w:val="1"/>
  </w:num>
  <w:num w:numId="8">
    <w:abstractNumId w:val="5"/>
  </w:num>
  <w:num w:numId="9">
    <w:abstractNumId w:val="0"/>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130A"/>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35D"/>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5549"/>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10D4980"/>
    <w:rsid w:val="028B6A1D"/>
    <w:rsid w:val="028F1C3E"/>
    <w:rsid w:val="03E4226B"/>
    <w:rsid w:val="04A04DCC"/>
    <w:rsid w:val="04F447C1"/>
    <w:rsid w:val="05123449"/>
    <w:rsid w:val="05C42923"/>
    <w:rsid w:val="05E724AA"/>
    <w:rsid w:val="07CD3CDD"/>
    <w:rsid w:val="0855671D"/>
    <w:rsid w:val="09716BCA"/>
    <w:rsid w:val="09AD4F9D"/>
    <w:rsid w:val="09E644B8"/>
    <w:rsid w:val="0A487ABE"/>
    <w:rsid w:val="0AA430B2"/>
    <w:rsid w:val="0AC55A90"/>
    <w:rsid w:val="0B9B74B2"/>
    <w:rsid w:val="0BB0429A"/>
    <w:rsid w:val="0C563DEC"/>
    <w:rsid w:val="0CB97ACD"/>
    <w:rsid w:val="0DBB01ED"/>
    <w:rsid w:val="0E8A2AC7"/>
    <w:rsid w:val="0EC815B9"/>
    <w:rsid w:val="0F446A2E"/>
    <w:rsid w:val="0F5F76E0"/>
    <w:rsid w:val="0F644A12"/>
    <w:rsid w:val="0F7F19AF"/>
    <w:rsid w:val="103945B2"/>
    <w:rsid w:val="11874411"/>
    <w:rsid w:val="13850208"/>
    <w:rsid w:val="1419083F"/>
    <w:rsid w:val="142334E3"/>
    <w:rsid w:val="14773990"/>
    <w:rsid w:val="1481754F"/>
    <w:rsid w:val="148A67E1"/>
    <w:rsid w:val="148F5721"/>
    <w:rsid w:val="14AC57CD"/>
    <w:rsid w:val="14E75423"/>
    <w:rsid w:val="15D32C69"/>
    <w:rsid w:val="1620398C"/>
    <w:rsid w:val="164514BE"/>
    <w:rsid w:val="16453D79"/>
    <w:rsid w:val="170F06AA"/>
    <w:rsid w:val="17873B5D"/>
    <w:rsid w:val="17EF48AA"/>
    <w:rsid w:val="180A6E32"/>
    <w:rsid w:val="183F2CD2"/>
    <w:rsid w:val="18CD0507"/>
    <w:rsid w:val="1AD01A1B"/>
    <w:rsid w:val="1B7B4E35"/>
    <w:rsid w:val="1C177B08"/>
    <w:rsid w:val="1C4E28F6"/>
    <w:rsid w:val="1C9001C6"/>
    <w:rsid w:val="1CBA2101"/>
    <w:rsid w:val="1D0573D7"/>
    <w:rsid w:val="1D0B674C"/>
    <w:rsid w:val="1D153DC4"/>
    <w:rsid w:val="1D223E0B"/>
    <w:rsid w:val="1D2B14A2"/>
    <w:rsid w:val="1E1C19EB"/>
    <w:rsid w:val="1E853F6F"/>
    <w:rsid w:val="1EB32AA2"/>
    <w:rsid w:val="1ECC1E3C"/>
    <w:rsid w:val="1FDA0E82"/>
    <w:rsid w:val="20371001"/>
    <w:rsid w:val="207B4602"/>
    <w:rsid w:val="21244EB1"/>
    <w:rsid w:val="21F13629"/>
    <w:rsid w:val="225A52C0"/>
    <w:rsid w:val="24122135"/>
    <w:rsid w:val="245D5C14"/>
    <w:rsid w:val="258F4033"/>
    <w:rsid w:val="25932BF9"/>
    <w:rsid w:val="265B50B5"/>
    <w:rsid w:val="26AE2CCC"/>
    <w:rsid w:val="26BB1419"/>
    <w:rsid w:val="26CB1031"/>
    <w:rsid w:val="27893AB2"/>
    <w:rsid w:val="281C12F4"/>
    <w:rsid w:val="29553F3A"/>
    <w:rsid w:val="299514B8"/>
    <w:rsid w:val="29A05E8C"/>
    <w:rsid w:val="2A3916E1"/>
    <w:rsid w:val="2A7E505C"/>
    <w:rsid w:val="2B471816"/>
    <w:rsid w:val="2B851E8F"/>
    <w:rsid w:val="2B954C89"/>
    <w:rsid w:val="2BA1692B"/>
    <w:rsid w:val="2BC05B2C"/>
    <w:rsid w:val="2BD617C5"/>
    <w:rsid w:val="2C112837"/>
    <w:rsid w:val="2CC146D3"/>
    <w:rsid w:val="2D036269"/>
    <w:rsid w:val="2EF477D1"/>
    <w:rsid w:val="2F2F0FC8"/>
    <w:rsid w:val="301C6BB6"/>
    <w:rsid w:val="31437A9E"/>
    <w:rsid w:val="31B14C9E"/>
    <w:rsid w:val="32EF2287"/>
    <w:rsid w:val="34331E65"/>
    <w:rsid w:val="34471EEA"/>
    <w:rsid w:val="34F11107"/>
    <w:rsid w:val="34F80A7B"/>
    <w:rsid w:val="35B06C6A"/>
    <w:rsid w:val="36D37423"/>
    <w:rsid w:val="38726558"/>
    <w:rsid w:val="3A185287"/>
    <w:rsid w:val="3A692CD0"/>
    <w:rsid w:val="3B3B2DF3"/>
    <w:rsid w:val="3B673620"/>
    <w:rsid w:val="3B9A1F29"/>
    <w:rsid w:val="3C6D5868"/>
    <w:rsid w:val="3CE4646B"/>
    <w:rsid w:val="3D5E7AA8"/>
    <w:rsid w:val="3D6F2596"/>
    <w:rsid w:val="3DE90736"/>
    <w:rsid w:val="3E7D08ED"/>
    <w:rsid w:val="3EB83B19"/>
    <w:rsid w:val="401B3A6B"/>
    <w:rsid w:val="405F175E"/>
    <w:rsid w:val="40C765F3"/>
    <w:rsid w:val="42420E47"/>
    <w:rsid w:val="42F869D2"/>
    <w:rsid w:val="4300258F"/>
    <w:rsid w:val="43553536"/>
    <w:rsid w:val="441D5188"/>
    <w:rsid w:val="44F46037"/>
    <w:rsid w:val="451632B9"/>
    <w:rsid w:val="453954E9"/>
    <w:rsid w:val="456C100D"/>
    <w:rsid w:val="45F60A50"/>
    <w:rsid w:val="46B036BF"/>
    <w:rsid w:val="47282363"/>
    <w:rsid w:val="49124BB5"/>
    <w:rsid w:val="49E55BC5"/>
    <w:rsid w:val="4A796308"/>
    <w:rsid w:val="4B2470BA"/>
    <w:rsid w:val="4B30128C"/>
    <w:rsid w:val="4C1C63D6"/>
    <w:rsid w:val="4C2528EF"/>
    <w:rsid w:val="4C864A35"/>
    <w:rsid w:val="4D321410"/>
    <w:rsid w:val="4D8C1A89"/>
    <w:rsid w:val="4DBF2DA1"/>
    <w:rsid w:val="4E015C76"/>
    <w:rsid w:val="4E4A2325"/>
    <w:rsid w:val="501A6C55"/>
    <w:rsid w:val="50E3745A"/>
    <w:rsid w:val="519A6ACC"/>
    <w:rsid w:val="51B14BED"/>
    <w:rsid w:val="52280006"/>
    <w:rsid w:val="525C1CEF"/>
    <w:rsid w:val="52830646"/>
    <w:rsid w:val="52960673"/>
    <w:rsid w:val="52EC72B6"/>
    <w:rsid w:val="52F41789"/>
    <w:rsid w:val="53C64B93"/>
    <w:rsid w:val="53F07453"/>
    <w:rsid w:val="55B1164D"/>
    <w:rsid w:val="55B4735E"/>
    <w:rsid w:val="56371459"/>
    <w:rsid w:val="56875C1B"/>
    <w:rsid w:val="58A10C72"/>
    <w:rsid w:val="58CD139E"/>
    <w:rsid w:val="59DA647E"/>
    <w:rsid w:val="5A556E1A"/>
    <w:rsid w:val="5B550FCA"/>
    <w:rsid w:val="5B8B68DC"/>
    <w:rsid w:val="5BB306CC"/>
    <w:rsid w:val="5CED039D"/>
    <w:rsid w:val="5D8941DA"/>
    <w:rsid w:val="5D982E42"/>
    <w:rsid w:val="5E8E2521"/>
    <w:rsid w:val="5EB44FC0"/>
    <w:rsid w:val="5F5029C1"/>
    <w:rsid w:val="5F931A96"/>
    <w:rsid w:val="5FBA395F"/>
    <w:rsid w:val="5FDA2C68"/>
    <w:rsid w:val="603C501F"/>
    <w:rsid w:val="62B047E1"/>
    <w:rsid w:val="635902CD"/>
    <w:rsid w:val="64706BBE"/>
    <w:rsid w:val="648E511B"/>
    <w:rsid w:val="64F2095B"/>
    <w:rsid w:val="6533321C"/>
    <w:rsid w:val="663D5CCF"/>
    <w:rsid w:val="66770492"/>
    <w:rsid w:val="67052A96"/>
    <w:rsid w:val="671A4BC2"/>
    <w:rsid w:val="673413FA"/>
    <w:rsid w:val="67A858DB"/>
    <w:rsid w:val="691B180A"/>
    <w:rsid w:val="691F2D87"/>
    <w:rsid w:val="697B28F2"/>
    <w:rsid w:val="69A833BD"/>
    <w:rsid w:val="6A5B13F3"/>
    <w:rsid w:val="6B27098F"/>
    <w:rsid w:val="6DAB717C"/>
    <w:rsid w:val="6DDE3DAF"/>
    <w:rsid w:val="6DE05144"/>
    <w:rsid w:val="6F160B9A"/>
    <w:rsid w:val="6FE94925"/>
    <w:rsid w:val="70540BC6"/>
    <w:rsid w:val="707C055E"/>
    <w:rsid w:val="70814FA6"/>
    <w:rsid w:val="715F4C2D"/>
    <w:rsid w:val="71844714"/>
    <w:rsid w:val="72BF60CA"/>
    <w:rsid w:val="7522275B"/>
    <w:rsid w:val="752872FE"/>
    <w:rsid w:val="753811DE"/>
    <w:rsid w:val="75A17C8F"/>
    <w:rsid w:val="75BE67D4"/>
    <w:rsid w:val="75C759C1"/>
    <w:rsid w:val="762D64F3"/>
    <w:rsid w:val="775B4604"/>
    <w:rsid w:val="77C067C3"/>
    <w:rsid w:val="77C6011D"/>
    <w:rsid w:val="77CA63ED"/>
    <w:rsid w:val="78141A2A"/>
    <w:rsid w:val="78911E31"/>
    <w:rsid w:val="78D006C0"/>
    <w:rsid w:val="7A076CB0"/>
    <w:rsid w:val="7A9367CB"/>
    <w:rsid w:val="7AEC3E2E"/>
    <w:rsid w:val="7AF22571"/>
    <w:rsid w:val="7BD71373"/>
    <w:rsid w:val="7C1C35A7"/>
    <w:rsid w:val="7C45431D"/>
    <w:rsid w:val="7C5B0E57"/>
    <w:rsid w:val="7C855657"/>
    <w:rsid w:val="7CE6742C"/>
    <w:rsid w:val="7D684E4F"/>
    <w:rsid w:val="7DDD0501"/>
    <w:rsid w:val="7DE541D2"/>
    <w:rsid w:val="7E3C78E6"/>
    <w:rsid w:val="7E6C2D77"/>
    <w:rsid w:val="7E90378F"/>
    <w:rsid w:val="7E935AFB"/>
    <w:rsid w:val="7FC90A85"/>
    <w:rsid w:val="7FD028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qFormat="1" w:unhideWhenUsed="0" w:uiPriority="0"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21"/>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2"/>
    <w:qFormat/>
    <w:uiPriority w:val="0"/>
    <w:pPr>
      <w:keepNext/>
      <w:spacing w:before="240" w:after="60"/>
      <w:outlineLvl w:val="1"/>
    </w:pPr>
    <w:rPr>
      <w:rFonts w:ascii="Helvetica" w:hAnsi="Helvetica" w:eastAsia="MS Mincho"/>
      <w:iCs/>
      <w:szCs w:val="28"/>
      <w:lang w:val="zh-CN"/>
    </w:rPr>
  </w:style>
  <w:style w:type="paragraph" w:styleId="4">
    <w:name w:val="heading 3"/>
    <w:basedOn w:val="3"/>
    <w:next w:val="1"/>
    <w:link w:val="49"/>
    <w:unhideWhenUsed/>
    <w:qFormat/>
    <w:uiPriority w:val="9"/>
    <w:pPr>
      <w:keepNext/>
      <w:keepLines/>
      <w:spacing w:before="260" w:after="260" w:line="416" w:lineRule="auto"/>
      <w:outlineLvl w:val="2"/>
    </w:pPr>
    <w:rPr>
      <w:sz w:val="32"/>
      <w:szCs w:val="32"/>
    </w:rPr>
  </w:style>
  <w:style w:type="character" w:default="1" w:styleId="19">
    <w:name w:val="Default Paragraph Font"/>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5">
    <w:name w:val="List 3"/>
    <w:basedOn w:val="6"/>
    <w:qFormat/>
    <w:uiPriority w:val="0"/>
    <w:pPr>
      <w:ind w:left="1135"/>
    </w:pPr>
  </w:style>
  <w:style w:type="paragraph" w:styleId="6">
    <w:name w:val="List 2"/>
    <w:basedOn w:val="7"/>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7">
    <w:name w:val="List"/>
    <w:basedOn w:val="1"/>
    <w:semiHidden/>
    <w:unhideWhenUsed/>
    <w:qFormat/>
    <w:uiPriority w:val="99"/>
    <w:pPr>
      <w:ind w:left="200" w:hanging="200" w:hangingChars="200"/>
      <w:contextualSpacing/>
    </w:pPr>
  </w:style>
  <w:style w:type="paragraph" w:styleId="8">
    <w:name w:val="caption"/>
    <w:basedOn w:val="1"/>
    <w:next w:val="1"/>
    <w:unhideWhenUsed/>
    <w:qFormat/>
    <w:uiPriority w:val="35"/>
    <w:rPr>
      <w:rFonts w:ascii="Cambria" w:hAnsi="Cambria" w:eastAsia="黑体"/>
      <w:szCs w:val="20"/>
    </w:rPr>
  </w:style>
  <w:style w:type="paragraph" w:styleId="9">
    <w:name w:val="Document Map"/>
    <w:basedOn w:val="1"/>
    <w:link w:val="29"/>
    <w:semiHidden/>
    <w:unhideWhenUsed/>
    <w:qFormat/>
    <w:uiPriority w:val="99"/>
    <w:rPr>
      <w:rFonts w:ascii="宋体" w:eastAsia="宋体"/>
      <w:sz w:val="18"/>
      <w:szCs w:val="18"/>
    </w:rPr>
  </w:style>
  <w:style w:type="paragraph" w:styleId="10">
    <w:name w:val="annotation text"/>
    <w:basedOn w:val="1"/>
    <w:semiHidden/>
    <w:unhideWhenUsed/>
    <w:qFormat/>
    <w:uiPriority w:val="99"/>
    <w:pPr>
      <w:jc w:val="left"/>
    </w:pPr>
  </w:style>
  <w:style w:type="paragraph" w:styleId="11">
    <w:name w:val="Body Text"/>
    <w:basedOn w:val="1"/>
    <w:link w:val="23"/>
    <w:qFormat/>
    <w:uiPriority w:val="0"/>
    <w:pPr>
      <w:spacing w:after="120"/>
      <w:jc w:val="both"/>
    </w:pPr>
    <w:rPr>
      <w:rFonts w:eastAsia="MS Mincho"/>
      <w:lang w:val="zh-CN"/>
    </w:rPr>
  </w:style>
  <w:style w:type="paragraph" w:styleId="12">
    <w:name w:val="Date"/>
    <w:basedOn w:val="1"/>
    <w:next w:val="1"/>
    <w:link w:val="46"/>
    <w:semiHidden/>
    <w:unhideWhenUsed/>
    <w:qFormat/>
    <w:uiPriority w:val="99"/>
    <w:pPr>
      <w:ind w:left="100" w:leftChars="2500"/>
    </w:pPr>
  </w:style>
  <w:style w:type="paragraph" w:styleId="13">
    <w:name w:val="Balloon Text"/>
    <w:basedOn w:val="1"/>
    <w:link w:val="27"/>
    <w:semiHidden/>
    <w:unhideWhenUsed/>
    <w:qFormat/>
    <w:uiPriority w:val="99"/>
    <w:rPr>
      <w:sz w:val="18"/>
      <w:szCs w:val="18"/>
      <w:lang w:val="zh-CN"/>
    </w:rPr>
  </w:style>
  <w:style w:type="paragraph" w:styleId="14">
    <w:name w:val="footer"/>
    <w:basedOn w:val="1"/>
    <w:link w:val="26"/>
    <w:unhideWhenUsed/>
    <w:qFormat/>
    <w:uiPriority w:val="99"/>
    <w:pPr>
      <w:tabs>
        <w:tab w:val="center" w:pos="4153"/>
        <w:tab w:val="right" w:pos="8306"/>
      </w:tabs>
      <w:snapToGrid w:val="0"/>
    </w:pPr>
    <w:rPr>
      <w:sz w:val="18"/>
      <w:szCs w:val="18"/>
      <w:lang w:val="zh-CN"/>
    </w:rPr>
  </w:style>
  <w:style w:type="paragraph" w:styleId="15">
    <w:name w:val="header"/>
    <w:basedOn w:val="1"/>
    <w:link w:val="24"/>
    <w:qFormat/>
    <w:uiPriority w:val="0"/>
    <w:pPr>
      <w:tabs>
        <w:tab w:val="center" w:pos="4536"/>
        <w:tab w:val="right" w:pos="9072"/>
      </w:tabs>
    </w:pPr>
    <w:rPr>
      <w:rFonts w:ascii="Arial" w:hAnsi="Arial" w:eastAsia="MS Mincho"/>
      <w:b/>
      <w:lang w:val="zh-CN"/>
    </w:rPr>
  </w:style>
  <w:style w:type="paragraph" w:styleId="16">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8">
    <w:name w:val="Table Grid"/>
    <w:basedOn w:val="1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Hyperlink"/>
    <w:qFormat/>
    <w:uiPriority w:val="99"/>
    <w:rPr>
      <w:color w:val="0000FF"/>
      <w:u w:val="single"/>
    </w:rPr>
  </w:style>
  <w:style w:type="character" w:customStyle="1" w:styleId="21">
    <w:name w:val="Heading 1 Char"/>
    <w:link w:val="2"/>
    <w:qFormat/>
    <w:uiPriority w:val="0"/>
    <w:rPr>
      <w:rFonts w:ascii="Helvetica" w:hAnsi="Helvetica" w:eastAsia="MS Mincho" w:cs="Times New Roman"/>
      <w:b/>
      <w:bCs/>
      <w:kern w:val="32"/>
      <w:sz w:val="28"/>
      <w:szCs w:val="32"/>
      <w:lang w:val="zh-CN" w:eastAsia="en-US"/>
    </w:rPr>
  </w:style>
  <w:style w:type="character" w:customStyle="1" w:styleId="22">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3">
    <w:name w:val="Body Text Char"/>
    <w:link w:val="11"/>
    <w:qFormat/>
    <w:uiPriority w:val="0"/>
    <w:rPr>
      <w:rFonts w:ascii="Times New Roman" w:hAnsi="Times New Roman" w:eastAsia="MS Mincho" w:cs="Times New Roman"/>
      <w:kern w:val="0"/>
      <w:sz w:val="20"/>
      <w:szCs w:val="24"/>
      <w:lang w:val="zh-CN" w:eastAsia="en-US"/>
    </w:rPr>
  </w:style>
  <w:style w:type="character" w:customStyle="1" w:styleId="24">
    <w:name w:val="Header Char"/>
    <w:link w:val="15"/>
    <w:qFormat/>
    <w:uiPriority w:val="0"/>
    <w:rPr>
      <w:rFonts w:ascii="Arial" w:hAnsi="Arial" w:eastAsia="MS Mincho" w:cs="Times New Roman"/>
      <w:b/>
      <w:kern w:val="0"/>
      <w:sz w:val="20"/>
      <w:szCs w:val="24"/>
      <w:lang w:val="zh-CN" w:eastAsia="en-US"/>
    </w:rPr>
  </w:style>
  <w:style w:type="paragraph" w:customStyle="1" w:styleId="25">
    <w:name w:val="Paragraphe de liste"/>
    <w:basedOn w:val="1"/>
    <w:qFormat/>
    <w:uiPriority w:val="34"/>
    <w:pPr>
      <w:ind w:left="720"/>
    </w:pPr>
    <w:rPr>
      <w:rFonts w:eastAsia="宋体"/>
      <w:sz w:val="24"/>
      <w:lang w:val="fr-FR" w:eastAsia="zh-CN"/>
    </w:rPr>
  </w:style>
  <w:style w:type="character" w:customStyle="1" w:styleId="26">
    <w:name w:val="Footer Char"/>
    <w:link w:val="14"/>
    <w:qFormat/>
    <w:uiPriority w:val="99"/>
    <w:rPr>
      <w:rFonts w:ascii="Times New Roman" w:hAnsi="Times New Roman" w:eastAsia="Times New Roman" w:cs="Times New Roman"/>
      <w:kern w:val="0"/>
      <w:sz w:val="18"/>
      <w:szCs w:val="18"/>
      <w:lang w:eastAsia="en-US"/>
    </w:rPr>
  </w:style>
  <w:style w:type="character" w:customStyle="1" w:styleId="27">
    <w:name w:val="Balloon Text Char"/>
    <w:link w:val="13"/>
    <w:semiHidden/>
    <w:qFormat/>
    <w:uiPriority w:val="99"/>
    <w:rPr>
      <w:rFonts w:ascii="Times New Roman" w:hAnsi="Times New Roman" w:eastAsia="Times New Roman" w:cs="Times New Roman"/>
      <w:kern w:val="0"/>
      <w:sz w:val="18"/>
      <w:szCs w:val="18"/>
      <w:lang w:eastAsia="en-US"/>
    </w:rPr>
  </w:style>
  <w:style w:type="paragraph" w:styleId="28">
    <w:name w:val="List Paragraph"/>
    <w:basedOn w:val="1"/>
    <w:link w:val="44"/>
    <w:qFormat/>
    <w:uiPriority w:val="34"/>
    <w:pPr>
      <w:widowControl w:val="0"/>
      <w:ind w:firstLine="420" w:firstLineChars="200"/>
      <w:jc w:val="both"/>
    </w:pPr>
    <w:rPr>
      <w:rFonts w:ascii="Calibri" w:hAnsi="Calibri" w:eastAsia="宋体"/>
      <w:kern w:val="2"/>
      <w:sz w:val="21"/>
      <w:szCs w:val="22"/>
      <w:lang w:eastAsia="zh-CN"/>
    </w:rPr>
  </w:style>
  <w:style w:type="character" w:customStyle="1" w:styleId="29">
    <w:name w:val="Document Map Char"/>
    <w:link w:val="9"/>
    <w:semiHidden/>
    <w:qFormat/>
    <w:uiPriority w:val="99"/>
    <w:rPr>
      <w:rFonts w:ascii="宋体" w:hAnsi="Times New Roman"/>
      <w:sz w:val="18"/>
      <w:szCs w:val="18"/>
      <w:lang w:eastAsia="en-US"/>
    </w:rPr>
  </w:style>
  <w:style w:type="paragraph" w:customStyle="1" w:styleId="30">
    <w:name w:val="B1"/>
    <w:basedOn w:val="7"/>
    <w:link w:val="31"/>
    <w:qFormat/>
    <w:uiPriority w:val="0"/>
    <w:pPr>
      <w:spacing w:after="180"/>
      <w:ind w:left="568" w:hanging="284" w:firstLineChars="0"/>
      <w:contextualSpacing w:val="0"/>
    </w:pPr>
    <w:rPr>
      <w:rFonts w:eastAsia="宋体"/>
      <w:szCs w:val="20"/>
      <w:lang w:val="en-GB"/>
    </w:rPr>
  </w:style>
  <w:style w:type="character" w:customStyle="1" w:styleId="31">
    <w:name w:val="B1 (文字)"/>
    <w:link w:val="30"/>
    <w:qFormat/>
    <w:locked/>
    <w:uiPriority w:val="0"/>
    <w:rPr>
      <w:rFonts w:ascii="Times New Roman" w:hAnsi="Times New Roman"/>
      <w:lang w:val="en-GB" w:eastAsia="en-US"/>
    </w:rPr>
  </w:style>
  <w:style w:type="character" w:customStyle="1" w:styleId="32">
    <w:name w:val="B1 Char1"/>
    <w:qFormat/>
    <w:uiPriority w:val="0"/>
    <w:rPr>
      <w:lang w:val="en-GB" w:eastAsia="en-US"/>
    </w:rPr>
  </w:style>
  <w:style w:type="paragraph" w:customStyle="1" w:styleId="33">
    <w:name w:val="TAH"/>
    <w:basedOn w:val="34"/>
    <w:link w:val="39"/>
    <w:qFormat/>
    <w:uiPriority w:val="0"/>
    <w:rPr>
      <w:b/>
    </w:rPr>
  </w:style>
  <w:style w:type="paragraph" w:customStyle="1" w:styleId="34">
    <w:name w:val="TAC"/>
    <w:basedOn w:val="35"/>
    <w:link w:val="38"/>
    <w:qFormat/>
    <w:uiPriority w:val="0"/>
    <w:pPr>
      <w:keepNext/>
      <w:keepLines/>
      <w:jc w:val="center"/>
    </w:pPr>
    <w:rPr>
      <w:rFonts w:ascii="Arial" w:hAnsi="Arial" w:eastAsia="宋体"/>
      <w:sz w:val="18"/>
      <w:szCs w:val="20"/>
      <w:lang w:val="en-GB" w:eastAsia="zh-CN"/>
    </w:rPr>
  </w:style>
  <w:style w:type="paragraph" w:customStyle="1" w:styleId="35">
    <w:name w:val="TAL"/>
    <w:basedOn w:val="1"/>
    <w:link w:val="48"/>
    <w:qFormat/>
    <w:uiPriority w:val="0"/>
    <w:pPr>
      <w:keepNext/>
      <w:keepLines/>
    </w:pPr>
    <w:rPr>
      <w:rFonts w:ascii="Arial" w:hAnsi="Arial" w:eastAsia="宋体"/>
      <w:sz w:val="18"/>
      <w:szCs w:val="20"/>
      <w:lang w:val="en-GB"/>
    </w:rPr>
  </w:style>
  <w:style w:type="paragraph" w:customStyle="1" w:styleId="36">
    <w:name w:val="TH"/>
    <w:basedOn w:val="1"/>
    <w:link w:val="37"/>
    <w:qFormat/>
    <w:uiPriority w:val="0"/>
    <w:pPr>
      <w:keepNext/>
      <w:keepLines/>
      <w:spacing w:before="60" w:after="180"/>
      <w:jc w:val="center"/>
    </w:pPr>
    <w:rPr>
      <w:rFonts w:ascii="Arial" w:hAnsi="Arial" w:eastAsia="宋体"/>
      <w:b/>
      <w:szCs w:val="20"/>
      <w:lang w:val="en-GB" w:eastAsia="zh-CN"/>
    </w:rPr>
  </w:style>
  <w:style w:type="character" w:customStyle="1" w:styleId="37">
    <w:name w:val="TH Char"/>
    <w:link w:val="36"/>
    <w:qFormat/>
    <w:uiPriority w:val="0"/>
    <w:rPr>
      <w:rFonts w:ascii="Arial" w:hAnsi="Arial" w:eastAsia="宋体"/>
      <w:b/>
      <w:lang w:val="en-GB" w:eastAsia="zh-CN"/>
    </w:rPr>
  </w:style>
  <w:style w:type="character" w:customStyle="1" w:styleId="38">
    <w:name w:val="TAC Char"/>
    <w:link w:val="34"/>
    <w:qFormat/>
    <w:uiPriority w:val="0"/>
    <w:rPr>
      <w:rFonts w:ascii="Arial" w:hAnsi="Arial" w:eastAsia="宋体"/>
      <w:sz w:val="18"/>
      <w:lang w:val="en-GB" w:eastAsia="zh-CN"/>
    </w:rPr>
  </w:style>
  <w:style w:type="character" w:customStyle="1" w:styleId="39">
    <w:name w:val="TAH Car"/>
    <w:link w:val="33"/>
    <w:qFormat/>
    <w:uiPriority w:val="0"/>
    <w:rPr>
      <w:rFonts w:ascii="Arial" w:hAnsi="Arial" w:eastAsia="宋体"/>
      <w:b/>
      <w:sz w:val="18"/>
      <w:lang w:val="en-GB" w:eastAsia="zh-CN"/>
    </w:rPr>
  </w:style>
  <w:style w:type="paragraph" w:customStyle="1" w:styleId="40">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1">
    <w:name w:val="TAR"/>
    <w:basedOn w:val="1"/>
    <w:qFormat/>
    <w:uiPriority w:val="0"/>
    <w:pPr>
      <w:keepNext/>
      <w:keepLines/>
      <w:jc w:val="right"/>
    </w:pPr>
    <w:rPr>
      <w:rFonts w:ascii="Arial" w:hAnsi="Arial" w:eastAsia="宋体"/>
      <w:sz w:val="18"/>
      <w:szCs w:val="20"/>
      <w:lang w:val="en-GB"/>
    </w:rPr>
  </w:style>
  <w:style w:type="paragraph" w:customStyle="1" w:styleId="42">
    <w:name w:val="RAN4 proposal"/>
    <w:basedOn w:val="8"/>
    <w:next w:val="1"/>
    <w:link w:val="43"/>
    <w:qFormat/>
    <w:uiPriority w:val="0"/>
    <w:pPr>
      <w:numPr>
        <w:ilvl w:val="0"/>
        <w:numId w:val="2"/>
      </w:numPr>
      <w:spacing w:after="200"/>
      <w:ind w:left="0" w:firstLine="0"/>
    </w:pPr>
    <w:rPr>
      <w:rFonts w:ascii="Times New Roman" w:hAnsi="Times New Roman" w:eastAsia="宋体"/>
      <w:b/>
      <w:iCs/>
      <w:szCs w:val="18"/>
    </w:rPr>
  </w:style>
  <w:style w:type="character" w:customStyle="1" w:styleId="43">
    <w:name w:val="RAN4 proposal Char"/>
    <w:link w:val="42"/>
    <w:qFormat/>
    <w:uiPriority w:val="0"/>
    <w:rPr>
      <w:rFonts w:ascii="Times New Roman" w:hAnsi="Times New Roman"/>
      <w:b/>
      <w:iCs/>
      <w:szCs w:val="18"/>
      <w:lang w:eastAsia="en-US"/>
    </w:rPr>
  </w:style>
  <w:style w:type="character" w:customStyle="1" w:styleId="44">
    <w:name w:val="List Paragraph Char"/>
    <w:link w:val="28"/>
    <w:qFormat/>
    <w:uiPriority w:val="34"/>
    <w:rPr>
      <w:kern w:val="2"/>
      <w:sz w:val="21"/>
      <w:szCs w:val="22"/>
    </w:rPr>
  </w:style>
  <w:style w:type="character" w:customStyle="1" w:styleId="45">
    <w:name w:val="ZGSM"/>
    <w:qFormat/>
    <w:uiPriority w:val="0"/>
  </w:style>
  <w:style w:type="character" w:customStyle="1" w:styleId="46">
    <w:name w:val="Date Char"/>
    <w:link w:val="12"/>
    <w:semiHidden/>
    <w:qFormat/>
    <w:uiPriority w:val="99"/>
    <w:rPr>
      <w:rFonts w:ascii="Times New Roman" w:hAnsi="Times New Roman" w:eastAsia="Times New Roman"/>
      <w:szCs w:val="24"/>
      <w:lang w:eastAsia="en-US"/>
    </w:rPr>
  </w:style>
  <w:style w:type="paragraph" w:customStyle="1" w:styleId="47">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8">
    <w:name w:val="TAL Char"/>
    <w:link w:val="35"/>
    <w:qFormat/>
    <w:uiPriority w:val="0"/>
    <w:rPr>
      <w:rFonts w:ascii="Arial" w:hAnsi="Arial"/>
      <w:sz w:val="18"/>
      <w:lang w:val="en-GB" w:eastAsia="en-US"/>
    </w:rPr>
  </w:style>
  <w:style w:type="character" w:customStyle="1" w:styleId="49">
    <w:name w:val="Heading 3 Char"/>
    <w:link w:val="4"/>
    <w:qFormat/>
    <w:uiPriority w:val="9"/>
    <w:rPr>
      <w:rFonts w:ascii="Times New Roman" w:hAnsi="Times New Roman" w:eastAsia="Times New Roman"/>
      <w:b/>
      <w:bCs/>
      <w:sz w:val="32"/>
      <w:szCs w:val="32"/>
      <w:lang w:eastAsia="en-US"/>
    </w:rPr>
  </w:style>
  <w:style w:type="character" w:customStyle="1" w:styleId="50">
    <w:name w:val="TAL Car"/>
    <w:qFormat/>
    <w:uiPriority w:val="0"/>
    <w:rPr>
      <w:rFonts w:ascii="Arial" w:hAnsi="Arial" w:eastAsia="Times New Roman" w:cs="Times New Roman"/>
      <w:kern w:val="0"/>
      <w:sz w:val="18"/>
      <w:szCs w:val="20"/>
      <w:lang w:val="en-GB" w:eastAsia="ko-KR"/>
    </w:rPr>
  </w:style>
  <w:style w:type="paragraph" w:customStyle="1" w:styleId="51">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2">
    <w:name w:val="paragraph"/>
    <w:basedOn w:val="1"/>
    <w:qFormat/>
    <w:uiPriority w:val="0"/>
    <w:pPr>
      <w:spacing w:before="100" w:beforeAutospacing="1" w:after="100" w:afterAutospacing="1"/>
    </w:pPr>
    <w:rPr>
      <w:rFonts w:eastAsia="Times New Roman"/>
      <w:sz w:val="24"/>
      <w:szCs w:val="24"/>
    </w:rPr>
  </w:style>
  <w:style w:type="character" w:customStyle="1" w:styleId="53">
    <w:name w:val="normaltextrun"/>
    <w:basedOn w:val="19"/>
    <w:qFormat/>
    <w:uiPriority w:val="0"/>
  </w:style>
  <w:style w:type="paragraph" w:customStyle="1" w:styleId="54">
    <w:name w:val="B2"/>
    <w:basedOn w:val="6"/>
    <w:qFormat/>
    <w:uiPriority w:val="0"/>
  </w:style>
  <w:style w:type="paragraph" w:customStyle="1" w:styleId="55">
    <w:name w:val="B3"/>
    <w:basedOn w:val="5"/>
    <w:qFormat/>
    <w:uiPriority w:val="0"/>
  </w:style>
  <w:style w:type="paragraph" w:customStyle="1" w:styleId="56">
    <w:name w:val="TAN"/>
    <w:basedOn w:val="35"/>
    <w:qFormat/>
    <w:uiPriority w:val="0"/>
    <w:pPr>
      <w:ind w:left="851" w:hanging="851"/>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0</TotalTime>
  <ScaleCrop>false</ScaleCrop>
  <LinksUpToDate>false</LinksUpToDate>
  <CharactersWithSpaces>3669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Chenchen from ZTE</cp:lastModifiedBy>
  <cp:lastPrinted>2015-02-02T11:17:00Z</cp:lastPrinted>
  <dcterms:modified xsi:type="dcterms:W3CDTF">2022-09-30T14:16:54Z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